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ind w:left="153" w:firstLine="0"/>
        <w:rPr>
          <w:sz w:val="20"/>
          <w:szCs w:val="20"/>
        </w:rPr>
      </w:pPr>
      <w:r>
        <w:rPr>
          <w:sz w:val="20"/>
          <w:szCs w:val="20"/>
        </w:rPr>
        <w:drawing xmlns:a="http://schemas.openxmlformats.org/drawingml/2006/main">
          <wp:inline distT="0" distB="0" distL="0" distR="0">
            <wp:extent cx="6585602" cy="65722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6585602" cy="657225"/>
                    </a:xfrm>
                    <a:prstGeom prst="rect">
                      <a:avLst/>
                    </a:prstGeom>
                    <a:ln w="12700" cap="flat">
                      <a:noFill/>
                      <a:miter lim="400000"/>
                    </a:ln>
                    <a:effectLst/>
                  </pic:spPr>
                </pic:pic>
              </a:graphicData>
            </a:graphic>
          </wp:inline>
        </w:drawing>
      </w:r>
    </w:p>
    <w:p>
      <w:pPr>
        <w:pStyle w:val="Body Text"/>
        <w:spacing w:before="1"/>
      </w:pP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0"/>
      </w:tblGrid>
      <w:tr>
        <w:tblPrEx>
          <w:shd w:val="clear" w:color="auto" w:fill="ced7e7"/>
        </w:tblPrEx>
        <w:trPr>
          <w:trHeight w:val="290" w:hRule="atLeast"/>
        </w:trPr>
        <w:tc>
          <w:tcPr>
            <w:tcW w:type="dxa" w:w="10800"/>
            <w:tcBorders>
              <w:top w:val="nil"/>
              <w:left w:val="nil"/>
              <w:bottom w:val="nil"/>
              <w:right w:val="nil"/>
            </w:tcBorders>
            <w:shd w:val="clear" w:color="auto" w:fill="auto"/>
            <w:tcMar>
              <w:top w:type="dxa" w:w="80"/>
              <w:left w:type="dxa" w:w="80"/>
              <w:bottom w:type="dxa" w:w="80"/>
              <w:right w:type="dxa" w:w="80"/>
            </w:tcMar>
            <w:vAlign w:val="top"/>
          </w:tcPr>
          <w:p>
            <w:pPr>
              <w:pStyle w:val="Normal.0"/>
              <w:jc w:val="center"/>
            </w:pPr>
            <w:r>
              <w:rPr>
                <w:b w:val="1"/>
                <w:bCs w:val="1"/>
                <w:sz w:val="23"/>
                <w:szCs w:val="23"/>
                <w:shd w:val="nil" w:color="auto" w:fill="auto"/>
                <w:rtl w:val="0"/>
                <w:lang w:val="en-US"/>
              </w:rPr>
              <w:t>MACHINE LEARNING (25SC2107E)</w:t>
            </w:r>
          </w:p>
        </w:tc>
      </w:tr>
    </w:tbl>
    <w:p>
      <w:pPr>
        <w:pStyle w:val="Body Text"/>
        <w:spacing w:before="1"/>
        <w:ind w:left="108" w:hanging="108"/>
      </w:pPr>
    </w:p>
    <w:p>
      <w:pPr>
        <w:pStyle w:val="Normal.0"/>
        <w:rPr>
          <w:outline w:val="0"/>
          <w:color w:val="000000"/>
          <w:sz w:val="24"/>
          <w:szCs w:val="24"/>
          <w:u w:color="000000"/>
          <w14:textFill>
            <w14:solidFill>
              <w14:srgbClr w14:val="000000"/>
            </w14:solidFill>
          </w14:textFill>
        </w:rPr>
      </w:pPr>
    </w:p>
    <w:p>
      <w:pPr>
        <w:pStyle w:val="Normal.0"/>
        <w:ind w:left="779" w:right="418" w:firstLine="0"/>
        <w:jc w:val="center"/>
      </w:pPr>
      <w:r>
        <w:rPr>
          <w:b w:val="1"/>
          <w:bCs w:val="1"/>
          <w:spacing w:val="0"/>
          <w:rtl w:val="0"/>
          <w:lang w:val="en-US"/>
        </w:rPr>
        <w:t xml:space="preserve"> </w:t>
      </w:r>
    </w:p>
    <w:p>
      <w:pPr>
        <w:pStyle w:val="Normal.0"/>
        <w:spacing w:before="126"/>
        <w:ind w:right="418" w:firstLine="4512"/>
        <w:jc w:val="both"/>
        <w:rPr>
          <w:b w:val="1"/>
          <w:bCs w:val="1"/>
        </w:rPr>
      </w:pPr>
      <w:r>
        <w:rPr>
          <w:b w:val="1"/>
          <w:bCs w:val="1"/>
          <w:rtl w:val="0"/>
          <w:lang w:val="en-US"/>
        </w:rPr>
        <w:t>Y25 - 2026-2027 Trimester - 4</w:t>
      </w:r>
    </w:p>
    <w:p>
      <w:pPr>
        <w:pStyle w:val="Normal.0"/>
        <w:spacing w:before="126"/>
        <w:ind w:left="779" w:firstLine="0"/>
        <w:jc w:val="center"/>
        <w:rPr>
          <w:b w:val="1"/>
          <w:bCs w:val="1"/>
        </w:rPr>
      </w:pPr>
      <w:r>
        <w:rPr>
          <w:b w:val="1"/>
          <w:bCs w:val="1"/>
          <w:rtl w:val="0"/>
          <w:lang w:val="en-US"/>
        </w:rPr>
        <w:t>Project</w:t>
      </w:r>
      <w:r>
        <w:rPr>
          <w:b w:val="1"/>
          <w:bCs w:val="1"/>
          <w:spacing w:val="0"/>
          <w:rtl w:val="0"/>
          <w:lang w:val="en-US"/>
        </w:rPr>
        <w:t xml:space="preserve"> Abstract Submission Form</w:t>
      </w:r>
    </w:p>
    <w:p>
      <w:pPr>
        <w:pStyle w:val="Body Text"/>
        <w:spacing w:before="147" w:after="1"/>
        <w:rPr>
          <w:b w:val="1"/>
          <w:bCs w:val="1"/>
          <w:sz w:val="20"/>
          <w:szCs w:val="20"/>
        </w:rPr>
      </w:pPr>
    </w:p>
    <w:tbl>
      <w:tblPr>
        <w:tblW w:w="10800" w:type="dxa"/>
        <w:jc w:val="left"/>
        <w:tblInd w:w="9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6"/>
        <w:gridCol w:w="1861"/>
        <w:gridCol w:w="7733"/>
      </w:tblGrid>
      <w:tr>
        <w:tblPrEx>
          <w:shd w:val="clear" w:color="auto" w:fill="ced7e7"/>
        </w:tblPrEx>
        <w:trPr>
          <w:trHeight w:val="487" w:hRule="atLeast"/>
        </w:trPr>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Sec No- 9</w:t>
            </w:r>
          </w:p>
        </w:tc>
        <w:tc>
          <w:tcPr>
            <w:tcW w:type="dxa" w:w="18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Team No- 11</w:t>
            </w:r>
          </w:p>
        </w:tc>
        <w:tc>
          <w:tcPr>
            <w:tcW w:type="dxa" w:w="77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6"/>
              <w:bottom w:type="dxa" w:w="80"/>
              <w:right w:type="dxa" w:w="80"/>
            </w:tcMar>
            <w:vAlign w:val="top"/>
          </w:tcPr>
          <w:p>
            <w:pPr>
              <w:pStyle w:val="Table Paragraph"/>
              <w:spacing w:before="1" w:line="233" w:lineRule="exact"/>
              <w:ind w:left="106" w:firstLine="0"/>
            </w:pPr>
            <w:r>
              <w:rPr>
                <w:b w:val="1"/>
                <w:bCs w:val="1"/>
                <w:shd w:val="nil" w:color="auto" w:fill="auto"/>
                <w:rtl w:val="0"/>
                <w:lang w:val="en-US"/>
              </w:rPr>
              <w:t>Project Title-  Wine Quality Classification Using Logistic Regression and Multinomial Logistic Regression</w:t>
            </w:r>
          </w:p>
        </w:tc>
      </w:tr>
    </w:tbl>
    <w:p>
      <w:pPr>
        <w:pStyle w:val="Body Text"/>
        <w:spacing w:before="147" w:after="1"/>
        <w:ind w:left="838" w:hanging="838"/>
        <w:rPr>
          <w:b w:val="1"/>
          <w:bCs w:val="1"/>
          <w:sz w:val="20"/>
          <w:szCs w:val="20"/>
        </w:rPr>
      </w:pPr>
    </w:p>
    <w:p>
      <w:pPr>
        <w:pStyle w:val="Body Text"/>
        <w:spacing w:before="147" w:after="1"/>
        <w:ind w:left="838" w:hanging="838"/>
        <w:rPr>
          <w:b w:val="1"/>
          <w:bCs w:val="1"/>
          <w:sz w:val="20"/>
          <w:szCs w:val="20"/>
        </w:rPr>
      </w:pPr>
    </w:p>
    <w:p>
      <w:pPr>
        <w:pStyle w:val="List Paragraph"/>
        <w:numPr>
          <w:ilvl w:val="0"/>
          <w:numId w:val="2"/>
        </w:numPr>
        <w:bidi w:val="0"/>
        <w:spacing w:line="252" w:lineRule="exact"/>
        <w:ind w:right="0"/>
        <w:jc w:val="left"/>
        <w:rPr>
          <w:b w:val="1"/>
          <w:bCs w:val="1"/>
          <w:rtl w:val="0"/>
          <w:lang w:val="en-US"/>
        </w:rPr>
      </w:pPr>
      <w:r>
        <w:rPr>
          <w:b w:val="1"/>
          <w:bCs w:val="1"/>
          <w:spacing w:val="0"/>
          <w:rtl w:val="0"/>
          <w:lang w:val="en-US"/>
        </w:rPr>
        <w:t>Abstract</w:t>
      </w:r>
      <w:r>
        <w:rPr>
          <w:b w:val="1"/>
          <w:bCs w:val="1"/>
          <w:spacing w:val="0"/>
        </w:rP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192895</wp:posOffset>
                </wp:positionH>
                <wp:positionV relativeFrom="line">
                  <wp:posOffset>166617</wp:posOffset>
                </wp:positionV>
                <wp:extent cx="6658755" cy="4403443"/>
                <wp:effectExtent l="0" t="0" r="0" b="0"/>
                <wp:wrapTopAndBottom distT="152400" distB="152400"/>
                <wp:docPr id="1073741826" name="officeArt object" descr="Wine quality prediction is a significant application of machine learning in the food and beverage industry, where the quality of wine is influenced by several physicochemical properties. This project, “Wine Quality Classification Using Logistic Regression and Multinomial Logistic Regression,” aims to develop a supervised machine-learning system that predicts wine quality categories based on measurable chemical characteristics. The project uses a wine-quality dataset containing features such as fixed acidity, volatile acidity, citric acid, residual sugar, chlorides, free sulfur dioxide, total sulfur dioxide, density, pH, sulphates, and alcohol.…"/>
                <wp:cNvGraphicFramePr/>
                <a:graphic xmlns:a="http://schemas.openxmlformats.org/drawingml/2006/main">
                  <a:graphicData uri="http://schemas.microsoft.com/office/word/2010/wordprocessingShape">
                    <wps:wsp>
                      <wps:cNvSpPr txBox="1"/>
                      <wps:spPr>
                        <a:xfrm>
                          <a:off x="0" y="0"/>
                          <a:ext cx="6658755" cy="4403443"/>
                        </a:xfrm>
                        <a:prstGeom prst="rect">
                          <a:avLst/>
                        </a:prstGeom>
                        <a:noFill/>
                        <a:ln w="12700" cap="flat">
                          <a:noFill/>
                          <a:miter lim="400000"/>
                        </a:ln>
                        <a:effectLst/>
                      </wps:spPr>
                      <wps:txbx>
                        <w:txbxContent>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Wine quality prediction is a significant application of machine learning in the food and beverage industry, where the quality of wine is influenced by several physicochemical properties. This project, </w:t>
                            </w:r>
                            <w:r>
                              <w:rPr>
                                <w:rFonts w:ascii="Arial Unicode MS" w:hAnsi="Arial Unicode MS" w:hint="default"/>
                                <w:sz w:val="20"/>
                                <w:szCs w:val="20"/>
                                <w:rtl w:val="1"/>
                                <w:lang w:val="ar-SA" w:bidi="ar-SA"/>
                              </w:rPr>
                              <w:t>“</w:t>
                            </w:r>
                            <w:r>
                              <w:rPr>
                                <w:rFonts w:ascii="Times New Roman" w:hAnsi="Times New Roman"/>
                                <w:sz w:val="20"/>
                                <w:szCs w:val="20"/>
                                <w:rtl w:val="0"/>
                                <w:lang w:val="en-US"/>
                              </w:rPr>
                              <w:t>Wine Quality Classification Using Logistic Regression and Multinomial Logistic Regression,</w:t>
                            </w:r>
                            <w:r>
                              <w:rPr>
                                <w:rFonts w:ascii="Times New Roman" w:hAnsi="Times New Roman" w:hint="default"/>
                                <w:sz w:val="20"/>
                                <w:szCs w:val="20"/>
                                <w:rtl w:val="0"/>
                                <w:lang w:val="en-US"/>
                              </w:rPr>
                              <w:t xml:space="preserve">” </w:t>
                            </w:r>
                            <w:r>
                              <w:rPr>
                                <w:rFonts w:ascii="Times New Roman" w:hAnsi="Times New Roman"/>
                                <w:sz w:val="20"/>
                                <w:szCs w:val="20"/>
                                <w:rtl w:val="0"/>
                                <w:lang w:val="en-US"/>
                              </w:rPr>
                              <w:t>aims to develop a supervised machine-learning system that predicts wine quality categories based on measurable chemical characteristics. The project uses a wine-quality dataset containing features such as fixed acidity, volatile acidity, citric acid, residual sugar, chlorides, free sulfur dioxide, total sulfur dioxide, density, pH, sulphates, and alcohol.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project follows an end-to-end machine-learning lifecycle, beginning with data collection and exploratory analysis, followed by data preprocessing, feature selection, feature scaling, model training, evaluation, and prediction. The dataset is examined for missing values, duplicate records, outliers, feature distributions, and relationships between physicochemical properties and wine quality. Appropriate preprocessing techniques are applied to prepare the data for supervised learning.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Two classification approaches are implemented and compared. Binary Logistic Regression is used to classify wine into two quality groups, such as good-quality and lower-quality wine, while Multinomial Logistic Regression is applied when the target contains more than two quality categories. Since logistic regression is sensitive to the scale of input variables, feature scaling is performed to ensure that features with different numerical ranges contribute appropriately to the model. Regularisation is also considered to reduce overfitting and improve the model's ability to generalize to unseen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trained models are evaluated using accuracy, precision, recall, F1-score, confusion matrix, ROC-AUC, and PR-AUC, depending on the classification setting. Cross-validation is used to obtain a more reliable estimate of model performance, while hyper-parameter tuning can be performed using grid search, random search, or Bayesian optimization to identify suitable model parameters. The results of the binary and multi-class models are compared to determine their effectiveness in predicting wine quality.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project also focuses on understanding the bias-variance trade-off and the influence of different wine characteristics on classification performance. Model coefficients can be analyzed to identify which physicochemical properties have a stronger positive or negative relationship with predicted wine quality. This provides useful insights in addition to simply generating predictions.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pPr>
                            <w:r>
                              <w:rPr>
                                <w:rFonts w:ascii="Times New Roman" w:hAnsi="Times New Roman"/>
                                <w:sz w:val="20"/>
                                <w:szCs w:val="20"/>
                                <w:rtl w:val="0"/>
                                <w:lang w:val="en-US"/>
                              </w:rPr>
                              <w:t>Finally, the project demonstrates basic ML-engineering and deployment practices, including model packaging, preparation of a prediction interface or REST-based service, and basic monitoring of model performance. The system can be extended to</w:t>
                            </w:r>
                            <w:r>
                              <w:rPr>
                                <w:rFonts w:ascii="Times New Roman" w:hAnsi="Times New Roman"/>
                                <w:sz w:val="26"/>
                                <w:szCs w:val="26"/>
                                <w:rtl w:val="0"/>
                                <w:lang w:val="en-US"/>
                              </w:rPr>
                              <w:t xml:space="preserve"> </w:t>
                            </w:r>
                            <w:r>
                              <w:rPr>
                                <w:rFonts w:ascii="Times New Roman" w:hAnsi="Times New Roman"/>
                                <w:sz w:val="22"/>
                                <w:szCs w:val="22"/>
                                <w:rtl w:val="0"/>
                                <w:lang w:val="en-US"/>
                              </w:rPr>
                              <w:t xml:space="preserve">detect data drift, prediction changes, and performance degradation after deployment. Thus, the project demonstrates the complete machine-learning workflow from data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preprocessing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features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training </w:t>
                            </w:r>
                            <w:r>
                              <w:rPr>
                                <w:rFonts w:ascii="Times New Roman" w:hAnsi="Times New Roman" w:hint="default"/>
                                <w:sz w:val="22"/>
                                <w:szCs w:val="22"/>
                                <w:rtl w:val="0"/>
                                <w:lang w:val="en-US"/>
                              </w:rPr>
                              <w:t xml:space="preserve">→ </w:t>
                            </w:r>
                            <w:r>
                              <w:rPr>
                                <w:rFonts w:ascii="Times New Roman" w:hAnsi="Times New Roman"/>
                                <w:sz w:val="22"/>
                                <w:szCs w:val="22"/>
                                <w:rtl w:val="0"/>
                                <w:lang w:val="fr-FR"/>
                              </w:rPr>
                              <w:t xml:space="preserve">validation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evaluation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prediction </w:t>
                            </w:r>
                            <w:r>
                              <w:rPr>
                                <w:rFonts w:ascii="Times New Roman" w:hAnsi="Times New Roman" w:hint="default"/>
                                <w:sz w:val="22"/>
                                <w:szCs w:val="22"/>
                                <w:rtl w:val="0"/>
                                <w:lang w:val="en-US"/>
                              </w:rPr>
                              <w:t xml:space="preserve">→ </w:t>
                            </w:r>
                            <w:r>
                              <w:rPr>
                                <w:rFonts w:ascii="Times New Roman" w:hAnsi="Times New Roman"/>
                                <w:sz w:val="22"/>
                                <w:szCs w:val="22"/>
                                <w:rtl w:val="0"/>
                                <w:lang w:val="en-US"/>
                              </w:rPr>
                              <w:t>deployment and monitoring, while focusing specifically on model evaluation and ML engineering practices.</w:t>
                            </w:r>
                          </w:p>
                        </w:txbxContent>
                      </wps:txbx>
                      <wps:bodyPr wrap="square" lIns="45718" tIns="45718" rIns="45718" bIns="45718" numCol="1" anchor="t">
                        <a:noAutofit/>
                      </wps:bodyPr>
                    </wps:wsp>
                  </a:graphicData>
                </a:graphic>
              </wp:anchor>
            </w:drawing>
          </mc:Choice>
          <mc:Fallback>
            <w:pict>
              <v:shape id="_x0000_s1026" type="#_x0000_t202" style="visibility:visible;position:absolute;margin-left:15.2pt;margin-top:13.1pt;width:524.3pt;height:346.7pt;z-index:25165926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Wine quality prediction is a significant application of machine learning in the food and beverage industry, where the quality of wine is influenced by several physicochemical properties. This project, </w:t>
                      </w:r>
                      <w:r>
                        <w:rPr>
                          <w:rFonts w:ascii="Arial Unicode MS" w:hAnsi="Arial Unicode MS" w:hint="default"/>
                          <w:sz w:val="20"/>
                          <w:szCs w:val="20"/>
                          <w:rtl w:val="1"/>
                          <w:lang w:val="ar-SA" w:bidi="ar-SA"/>
                        </w:rPr>
                        <w:t>“</w:t>
                      </w:r>
                      <w:r>
                        <w:rPr>
                          <w:rFonts w:ascii="Times New Roman" w:hAnsi="Times New Roman"/>
                          <w:sz w:val="20"/>
                          <w:szCs w:val="20"/>
                          <w:rtl w:val="0"/>
                          <w:lang w:val="en-US"/>
                        </w:rPr>
                        <w:t>Wine Quality Classification Using Logistic Regression and Multinomial Logistic Regression,</w:t>
                      </w:r>
                      <w:r>
                        <w:rPr>
                          <w:rFonts w:ascii="Times New Roman" w:hAnsi="Times New Roman" w:hint="default"/>
                          <w:sz w:val="20"/>
                          <w:szCs w:val="20"/>
                          <w:rtl w:val="0"/>
                          <w:lang w:val="en-US"/>
                        </w:rPr>
                        <w:t xml:space="preserve">” </w:t>
                      </w:r>
                      <w:r>
                        <w:rPr>
                          <w:rFonts w:ascii="Times New Roman" w:hAnsi="Times New Roman"/>
                          <w:sz w:val="20"/>
                          <w:szCs w:val="20"/>
                          <w:rtl w:val="0"/>
                          <w:lang w:val="en-US"/>
                        </w:rPr>
                        <w:t>aims to develop a supervised machine-learning system that predicts wine quality categories based on measurable chemical characteristics. The project uses a wine-quality dataset containing features such as fixed acidity, volatile acidity, citric acid, residual sugar, chlorides, free sulfur dioxide, total sulfur dioxide, density, pH, sulphates, and alcohol.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project follows an end-to-end machine-learning lifecycle, beginning with data collection and exploratory analysis, followed by data preprocessing, feature selection, feature scaling, model training, evaluation, and prediction. The dataset is examined for missing values, duplicate records, outliers, feature distributions, and relationships between physicochemical properties and wine quality. Appropriate preprocessing techniques are applied to prepare the data for supervised learning.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Two classification approaches are implemented and compared. Binary Logistic Regression is used to classify wine into two quality groups, such as good-quality and lower-quality wine, while Multinomial Logistic Regression is applied when the target contains more than two quality categories. Since logistic regression is sensitive to the scale of input variables, feature scaling is performed to ensure that features with different numerical ranges contribute appropriately to the model. Regularisation is also considered to reduce overfitting and improve the model's ability to generalize to unseen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trained models are evaluated using accuracy, precision, recall, F1-score, confusion matrix, ROC-AUC, and PR-AUC, depending on the classification setting. Cross-validation is used to obtain a more reliable estimate of model performance, while hyper-parameter tuning can be performed using grid search, random search, or Bayesian optimization to identify suitable model parameters. The results of the binary and multi-class models are compared to determine their effectiveness in predicting wine quality.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project also focuses on understanding the bias-variance trade-off and the influence of different wine characteristics on classification performance. Model coefficients can be analyzed to identify which physicochemical properties have a stronger positive or negative relationship with predicted wine quality. This provides useful insights in addition to simply generating predictions.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suppressAutoHyphens w:val="1"/>
                        <w:spacing w:before="0" w:line="240" w:lineRule="auto"/>
                      </w:pPr>
                      <w:r>
                        <w:rPr>
                          <w:rFonts w:ascii="Times New Roman" w:hAnsi="Times New Roman"/>
                          <w:sz w:val="20"/>
                          <w:szCs w:val="20"/>
                          <w:rtl w:val="0"/>
                          <w:lang w:val="en-US"/>
                        </w:rPr>
                        <w:t>Finally, the project demonstrates basic ML-engineering and deployment practices, including model packaging, preparation of a prediction interface or REST-based service, and basic monitoring of model performance. The system can be extended to</w:t>
                      </w:r>
                      <w:r>
                        <w:rPr>
                          <w:rFonts w:ascii="Times New Roman" w:hAnsi="Times New Roman"/>
                          <w:sz w:val="26"/>
                          <w:szCs w:val="26"/>
                          <w:rtl w:val="0"/>
                          <w:lang w:val="en-US"/>
                        </w:rPr>
                        <w:t xml:space="preserve"> </w:t>
                      </w:r>
                      <w:r>
                        <w:rPr>
                          <w:rFonts w:ascii="Times New Roman" w:hAnsi="Times New Roman"/>
                          <w:sz w:val="22"/>
                          <w:szCs w:val="22"/>
                          <w:rtl w:val="0"/>
                          <w:lang w:val="en-US"/>
                        </w:rPr>
                        <w:t xml:space="preserve">detect data drift, prediction changes, and performance degradation after deployment. Thus, the project demonstrates the complete machine-learning workflow from data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preprocessing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features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training </w:t>
                      </w:r>
                      <w:r>
                        <w:rPr>
                          <w:rFonts w:ascii="Times New Roman" w:hAnsi="Times New Roman" w:hint="default"/>
                          <w:sz w:val="22"/>
                          <w:szCs w:val="22"/>
                          <w:rtl w:val="0"/>
                          <w:lang w:val="en-US"/>
                        </w:rPr>
                        <w:t xml:space="preserve">→ </w:t>
                      </w:r>
                      <w:r>
                        <w:rPr>
                          <w:rFonts w:ascii="Times New Roman" w:hAnsi="Times New Roman"/>
                          <w:sz w:val="22"/>
                          <w:szCs w:val="22"/>
                          <w:rtl w:val="0"/>
                          <w:lang w:val="fr-FR"/>
                        </w:rPr>
                        <w:t xml:space="preserve">validation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evaluation </w:t>
                      </w:r>
                      <w:r>
                        <w:rPr>
                          <w:rFonts w:ascii="Times New Roman" w:hAnsi="Times New Roman" w:hint="default"/>
                          <w:sz w:val="22"/>
                          <w:szCs w:val="22"/>
                          <w:rtl w:val="0"/>
                          <w:lang w:val="en-US"/>
                        </w:rPr>
                        <w:t xml:space="preserve">→ </w:t>
                      </w:r>
                      <w:r>
                        <w:rPr>
                          <w:rFonts w:ascii="Times New Roman" w:hAnsi="Times New Roman"/>
                          <w:sz w:val="22"/>
                          <w:szCs w:val="22"/>
                          <w:rtl w:val="0"/>
                          <w:lang w:val="en-US"/>
                        </w:rPr>
                        <w:t xml:space="preserve">prediction </w:t>
                      </w:r>
                      <w:r>
                        <w:rPr>
                          <w:rFonts w:ascii="Times New Roman" w:hAnsi="Times New Roman" w:hint="default"/>
                          <w:sz w:val="22"/>
                          <w:szCs w:val="22"/>
                          <w:rtl w:val="0"/>
                          <w:lang w:val="en-US"/>
                        </w:rPr>
                        <w:t xml:space="preserve">→ </w:t>
                      </w:r>
                      <w:r>
                        <w:rPr>
                          <w:rFonts w:ascii="Times New Roman" w:hAnsi="Times New Roman"/>
                          <w:sz w:val="22"/>
                          <w:szCs w:val="22"/>
                          <w:rtl w:val="0"/>
                          <w:lang w:val="en-US"/>
                        </w:rPr>
                        <w:t>deployment and monitoring, while focusing specifically on model evaluation and ML engineering practices.</w:t>
                      </w:r>
                    </w:p>
                  </w:txbxContent>
                </v:textbox>
                <w10:wrap type="topAndBottom" side="bothSides" anchorx="margin"/>
              </v:shape>
            </w:pict>
          </mc:Fallback>
        </mc:AlternateContent>
      </w:r>
    </w:p>
    <w:p>
      <w:pPr>
        <w:pStyle w:val="List Paragraph"/>
        <w:numPr>
          <w:ilvl w:val="0"/>
          <w:numId w:val="3"/>
        </w:numPr>
        <w:bidi w:val="0"/>
        <w:ind w:right="0"/>
        <w:jc w:val="left"/>
        <w:rPr>
          <w:b w:val="1"/>
          <w:bCs w:val="1"/>
          <w:rtl w:val="0"/>
          <w:lang w:val="en-US"/>
        </w:rPr>
      </w:pPr>
      <w:r>
        <w:rPr>
          <w:b w:val="1"/>
          <w:bCs w:val="1"/>
          <w:rtl w:val="0"/>
          <w:lang w:val="en-US"/>
        </w:rPr>
        <w:t>Team Details</w:t>
      </w:r>
    </w:p>
    <w:p>
      <w:pPr>
        <w:pStyle w:val="Body Text"/>
        <w:spacing w:before="2"/>
      </w:pPr>
    </w:p>
    <w:p>
      <w:pPr>
        <w:pStyle w:val="Body Text"/>
        <w:spacing w:before="22"/>
        <w:rPr>
          <w:sz w:val="20"/>
          <w:szCs w:val="20"/>
        </w:rPr>
      </w:pPr>
    </w:p>
    <w:tbl>
      <w:tblPr>
        <w:tblW w:w="10800" w:type="dxa"/>
        <w:jc w:val="left"/>
        <w:tblInd w:w="9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43"/>
        <w:gridCol w:w="3753"/>
        <w:gridCol w:w="3404"/>
      </w:tblGrid>
      <w:tr>
        <w:tblPrEx>
          <w:shd w:val="clear" w:color="auto" w:fill="ced7e7"/>
        </w:tblPrEx>
        <w:trPr>
          <w:trHeight w:val="254" w:hRule="atLeast"/>
        </w:trPr>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Roll Number(s)</w:t>
            </w:r>
          </w:p>
        </w:tc>
        <w:tc>
          <w:tcPr>
            <w:tcW w:type="dxa" w:w="3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Name of the Student</w:t>
            </w:r>
          </w:p>
        </w:tc>
        <w:tc>
          <w:tcPr>
            <w:tcW w:type="dxa" w:w="3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line="233" w:lineRule="exact"/>
              <w:ind w:left="107" w:firstLine="0"/>
            </w:pPr>
            <w:r>
              <w:rPr>
                <w:b w:val="1"/>
                <w:bCs w:val="1"/>
                <w:shd w:val="nil" w:color="auto" w:fill="auto"/>
                <w:rtl w:val="0"/>
                <w:lang w:val="en-US"/>
              </w:rPr>
              <w:t>Signature</w:t>
            </w:r>
          </w:p>
        </w:tc>
      </w:tr>
      <w:tr>
        <w:tblPrEx>
          <w:shd w:val="clear" w:color="auto" w:fill="ced7e7"/>
        </w:tblPrEx>
        <w:trPr>
          <w:trHeight w:val="241" w:hRule="atLeast"/>
        </w:trPr>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2520030064</w:t>
            </w:r>
          </w:p>
        </w:tc>
        <w:tc>
          <w:tcPr>
            <w:tcW w:type="dxa" w:w="3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T Antony Nissy</w:t>
            </w:r>
          </w:p>
        </w:tc>
        <w:tc>
          <w:tcPr>
            <w:tcW w:type="dxa" w:w="3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2520030306</w:t>
            </w:r>
          </w:p>
        </w:tc>
        <w:tc>
          <w:tcPr>
            <w:tcW w:type="dxa" w:w="3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18"/>
                <w:szCs w:val="18"/>
                <w:shd w:val="nil" w:color="auto" w:fill="auto"/>
                <w:rtl w:val="0"/>
                <w:lang w:val="en-US"/>
                <w14:textOutline w14:w="12700" w14:cap="flat">
                  <w14:noFill/>
                  <w14:miter w14:lim="400000"/>
                </w14:textOutline>
              </w:rPr>
              <w:t>Ch Sahasra Gayathri</w:t>
            </w:r>
          </w:p>
        </w:tc>
        <w:tc>
          <w:tcPr>
            <w:tcW w:type="dxa" w:w="3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Text"/>
        <w:spacing w:before="22"/>
        <w:ind w:left="838" w:hanging="838"/>
        <w:rPr>
          <w:sz w:val="20"/>
          <w:szCs w:val="20"/>
        </w:rPr>
      </w:pPr>
    </w:p>
    <w:p>
      <w:pPr>
        <w:pStyle w:val="Body Text"/>
        <w:spacing w:before="22"/>
        <w:ind w:left="730" w:hanging="730"/>
        <w:rPr>
          <w:sz w:val="20"/>
          <w:szCs w:val="20"/>
        </w:rPr>
      </w:pPr>
    </w:p>
    <w:p>
      <w:pPr>
        <w:pStyle w:val="Body Text"/>
      </w:pPr>
    </w:p>
    <w:p>
      <w:pPr>
        <w:pStyle w:val="Body Text"/>
      </w:pPr>
    </w:p>
    <w:p>
      <w:pPr>
        <w:pStyle w:val="Body Text"/>
      </w:pPr>
      <w:r>
        <w:rPr>
          <w:b w:val="1"/>
          <w:bCs w:val="1"/>
          <w:rtl w:val="0"/>
          <w:lang w:val="en-US"/>
        </w:rPr>
        <w:t xml:space="preserve">            3. DataSet Link: </w:t>
      </w:r>
      <w:r>
        <w:rPr>
          <w:rtl w:val="0"/>
          <w:lang w:val="en-US"/>
        </w:rPr>
        <w:t xml:space="preserve">              </w:t>
      </w:r>
    </w:p>
    <w:p>
      <w:pPr>
        <w:pStyle w:val="Body Text"/>
      </w:pPr>
      <w:r>
        <w:rPr>
          <w:rtl w:val="0"/>
        </w:rPr>
        <w:t xml:space="preserve">             </w:t>
      </w:r>
      <w:r>
        <w:rPr>
          <w:rStyle w:val="Hyperlink.0"/>
        </w:rPr>
        <w:fldChar w:fldCharType="begin" w:fldLock="0"/>
      </w:r>
      <w:r>
        <w:rPr>
          <w:rStyle w:val="Hyperlink.0"/>
        </w:rPr>
        <w:instrText xml:space="preserve"> HYPERLINK "https://www.kaggle.com/datasets/taweilo/wine-quality-dataset-balanced-classification"</w:instrText>
      </w:r>
      <w:r>
        <w:rPr>
          <w:rStyle w:val="Hyperlink.0"/>
        </w:rPr>
        <w:fldChar w:fldCharType="separate" w:fldLock="0"/>
      </w:r>
      <w:r>
        <w:rPr>
          <w:rStyle w:val="Hyperlink.0"/>
          <w:rtl w:val="0"/>
        </w:rPr>
        <w:t>https://www.kaggle.com/datasets/taweilo/wine-quality-dataset-balanced-classification</w:t>
      </w:r>
      <w:r>
        <w:rPr/>
        <w:fldChar w:fldCharType="end" w:fldLock="0"/>
      </w:r>
    </w:p>
    <w:p>
      <w:pPr>
        <w:pStyle w:val="Body Text"/>
      </w:pPr>
    </w:p>
    <w:p>
      <w:pPr>
        <w:pStyle w:val="Body Text"/>
      </w:pPr>
      <w:r>
        <w:rPr>
          <w:rtl w:val="0"/>
        </w:rPr>
        <w:t xml:space="preserve">               </w:t>
      </w:r>
    </w:p>
    <w:p>
      <w:pPr>
        <w:pStyle w:val="Body Text"/>
      </w:pPr>
    </w:p>
    <w:p>
      <w:pPr>
        <w:pStyle w:val="Normal.0"/>
        <w:tabs>
          <w:tab w:val="left" w:pos="8741"/>
        </w:tabs>
        <w:ind w:firstLine="660"/>
      </w:pPr>
      <w:r>
        <w:rPr>
          <w:b w:val="1"/>
          <w:bCs w:val="1"/>
          <w:rtl w:val="0"/>
          <w:lang w:val="en-US"/>
        </w:rPr>
        <w:t>Guide</w:t>
      </w:r>
      <w:r>
        <w:rPr>
          <w:b w:val="1"/>
          <w:bCs w:val="1"/>
          <w:spacing w:val="0"/>
          <w:rtl w:val="0"/>
          <w:lang w:val="en-US"/>
        </w:rPr>
        <w:t xml:space="preserve"> </w:t>
      </w:r>
      <w:r>
        <w:rPr>
          <w:b w:val="1"/>
          <w:bCs w:val="1"/>
          <w:rtl w:val="0"/>
          <w:lang w:val="en-US"/>
        </w:rPr>
        <w:t>Name</w:t>
      </w:r>
      <w:r>
        <w:rPr>
          <w:b w:val="1"/>
          <w:bCs w:val="1"/>
          <w:spacing w:val="0"/>
          <w:rtl w:val="0"/>
          <w:lang w:val="en-US"/>
        </w:rPr>
        <w:t xml:space="preserve"> </w:t>
      </w:r>
      <w:r>
        <w:rPr>
          <w:b w:val="1"/>
          <w:bCs w:val="1"/>
          <w:rtl w:val="0"/>
          <w:lang w:val="en-US"/>
        </w:rPr>
        <w:t>and</w:t>
      </w:r>
      <w:r>
        <w:rPr>
          <w:b w:val="1"/>
          <w:bCs w:val="1"/>
          <w:spacing w:val="0"/>
          <w:rtl w:val="0"/>
          <w:lang w:val="en-US"/>
        </w:rPr>
        <w:t xml:space="preserve"> </w:t>
      </w:r>
      <w:r>
        <w:rPr>
          <w:b w:val="1"/>
          <w:bCs w:val="1"/>
          <w:rtl w:val="0"/>
          <w:lang w:val="en-US"/>
        </w:rPr>
        <w:t>Signature</w:t>
      </w:r>
      <w:r>
        <w:rPr>
          <w:b w:val="1"/>
          <w:bCs w:val="1"/>
          <w:spacing w:val="0"/>
          <w:rtl w:val="0"/>
          <w:lang w:val="en-US"/>
        </w:rPr>
        <w:t xml:space="preserve"> </w:t>
      </w:r>
      <w:r>
        <w:rPr>
          <w:b w:val="1"/>
          <w:bCs w:val="1"/>
          <w:rtl w:val="0"/>
          <w:lang w:val="en-US"/>
        </w:rPr>
        <w:t>(remarks</w:t>
      </w:r>
      <w:r>
        <w:rPr>
          <w:b w:val="1"/>
          <w:bCs w:val="1"/>
          <w:spacing w:val="0"/>
          <w:rtl w:val="0"/>
          <w:lang w:val="en-US"/>
        </w:rPr>
        <w:t xml:space="preserve"> </w:t>
      </w:r>
      <w:r>
        <w:rPr>
          <w:b w:val="1"/>
          <w:bCs w:val="1"/>
          <w:rtl w:val="0"/>
          <w:lang w:val="en-US"/>
        </w:rPr>
        <w:t>if</w:t>
      </w:r>
      <w:r>
        <w:rPr>
          <w:b w:val="1"/>
          <w:bCs w:val="1"/>
          <w:spacing w:val="0"/>
          <w:rtl w:val="0"/>
          <w:lang w:val="en-US"/>
        </w:rPr>
        <w:t xml:space="preserve"> </w:t>
      </w:r>
      <w:r>
        <w:rPr>
          <w:b w:val="1"/>
          <w:bCs w:val="1"/>
          <w:rtl w:val="0"/>
          <w:lang w:val="en-US"/>
        </w:rPr>
        <w:t>any)</w:t>
      </w:r>
      <w:r>
        <w:rPr>
          <w:b w:val="1"/>
          <w:bCs w:val="1"/>
          <w:spacing w:val="0"/>
          <w:rtl w:val="0"/>
          <w:lang w:val="en-US"/>
        </w:rPr>
        <w:t xml:space="preserve"> </w:t>
      </w:r>
      <w:r>
        <w:rPr>
          <w:b w:val="1"/>
          <w:bCs w:val="1"/>
          <w:u w:val="single"/>
        </w:rPr>
        <w:tab/>
      </w:r>
    </w:p>
    <w:sectPr>
      <w:headerReference w:type="default" r:id="rId5"/>
      <w:footerReference w:type="default" r:id="rId6"/>
      <w:pgSz w:w="12240" w:h="15840" w:orient="portrait"/>
      <w:pgMar w:top="720" w:right="720" w:bottom="28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94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66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8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10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82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4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26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980" w:hanging="22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940"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66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38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10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82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54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26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5981" w:hanging="22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940" w:right="0" w:hanging="22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