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rFonts w:ascii="Arial" w:hAnsi="Arial"/>
          <w:b/>
          <w:color w:val="0F172A"/>
          <w:sz w:val="88"/>
        </w:rPr>
        <w:t>GrantAI</w:t>
      </w:r>
    </w:p>
    <w:p>
      <w:pPr>
        <w:spacing w:after="320"/>
      </w:pPr>
      <w:r>
        <w:rPr>
          <w:i/>
          <w:color w:val="475569"/>
          <w:sz w:val="30"/>
        </w:rPr>
        <w:t>Бизнес-концепция, Стратегия Масштабирования и Инвестиционное Предложение</w:t>
      </w:r>
    </w:p>
    <w:p>
      <w:pPr>
        <w:spacing w:after="560"/>
      </w:pPr>
      <w:r>
        <w:rPr>
          <w:color w:val="475569"/>
          <w:sz w:val="21"/>
        </w:rPr>
        <w:t>Предназначено для: Партнеров, Венчурных Инвесторов и Финансовых Институтов</w:t>
        <w:br/>
        <w:t>Категория: RegTech / FinTech / Enterprise SaaS</w:t>
        <w:br/>
        <w:t>Глобальный рынок: $120B+ TAM</w:t>
      </w:r>
    </w:p>
    <w:p>
      <w:pPr>
        <w:spacing w:after="560"/>
        <w:pBdr>
          <w:bottom w:val="single" w:sz="18" w:space="1" w:color="06B6D4"/>
        </w:pBdr>
      </w:pP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1. Резюме проекта (Executive Summary)</w:t>
      </w:r>
    </w:p>
    <w:p>
      <w:pPr>
        <w:spacing w:after="240"/>
      </w:pPr>
      <w:r>
        <w:t>GrantAI — это прорывной стартап на стыке FinTech и RegTech, автоматизирующий получение налоговых льгот и государственных R&amp;D субсидий с помощью искусственного интеллекта. Мы решаем одну из самых болезненных проблем технологического бизнеса: потерю миллионов долларов из-за бюрократии, медленного ручного учета и грабительских комиссий традиционных аудиторов. Наше ПО оцифровывает рабочий процесс инженеров и финансистов через интеграцию с таск-менеджерами и репозиториями, автоматически генерируя проверенные, юридически защищенные декларации R&amp;D. Для бизнеса это означает экономию до 95% времени и увеличение суммы возвратных средств на 20-30%.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2. Почему именно сейчас? (The Market Catalyst)</w:t>
      </w:r>
    </w:p>
    <w:p>
      <w:pPr>
        <w:spacing w:after="200"/>
      </w:pPr>
      <w:r>
        <w:t>На рынке R&amp;D субсидий происходит тектонический сдвиг, создающий идеальные условия для взрывного роста GrantAI:</w:t>
      </w:r>
    </w:p>
    <w:p>
      <w:pPr>
        <w:pStyle w:val="ListBullet"/>
        <w:spacing w:after="100"/>
      </w:pPr>
      <w:r>
        <w:rPr>
          <w:b/>
          <w:color w:val="0F172A"/>
        </w:rPr>
        <w:t xml:space="preserve">Регуляторное давление и ужесточение правил: </w:t>
      </w:r>
      <w:r>
        <w:t>Налоговые органы (HMRC в Великобритании, IRS в США) резко усилили борьбу с мошенничеством и небрежным заполнением деклараций. Шаблонные отчеты консалтинговых бутиков, составленные «по памяти», массово попадают под аудит. Рынок требует строгого, прозрачного и объективного цифрового аудиторского следа (audit trail), который может предоставить только наше программное решение.</w:t>
      </w:r>
    </w:p>
    <w:p>
      <w:pPr>
        <w:pStyle w:val="ListBullet"/>
        <w:spacing w:after="100"/>
      </w:pPr>
      <w:r>
        <w:rPr>
          <w:b/>
          <w:color w:val="0F172A"/>
        </w:rPr>
        <w:t xml:space="preserve">Новый кодекс IRS Section 174 в США: </w:t>
      </w:r>
      <w:r>
        <w:t>Законодательные изменения обязали американские компании капитализировать R&amp;D-затраты вместо их мгновенного списания. Это вынуждает миллионы стартапов вести детальный поденный учет рабочего времени разработчиков, переводя R&amp;D-комплаенс из разряда «желательного» в категорию «строго обязательного ежедневного процесса».</w:t>
      </w:r>
    </w:p>
    <w:p>
      <w:pPr>
        <w:pStyle w:val="ListBullet"/>
        <w:spacing w:after="100"/>
      </w:pPr>
      <w:r>
        <w:rPr>
          <w:b/>
          <w:color w:val="0F172A"/>
        </w:rPr>
        <w:t xml:space="preserve">Кризис ликвидности и фокус на Runway: </w:t>
      </w:r>
      <w:r>
        <w:t>В эпоху дорогого венчурного капитала стартапы борются за выживание и удлинение взлетной полосы (runway). Налоговые вычеты R&amp;D — это самый быстрый способ получить от $50,000 до $500,000 чистого, неразводняющего кэша от государства. Спрос на дешевый и точный инструмент для его возврата достиг исторического максимума.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3. Анализ рынка и целевая аудитория (TAM / SAM / SOM)</w:t>
      </w:r>
    </w:p>
    <w:p>
      <w:pPr>
        <w:spacing w:after="200"/>
      </w:pPr>
      <w:r>
        <w:t>Бизнес-модель ориентирована на глобальный рынок с высокой концентрацией технологического капитала:</w:t>
      </w:r>
    </w:p>
    <w:p>
      <w:pPr>
        <w:pStyle w:val="ListBullet"/>
        <w:spacing w:after="100"/>
      </w:pPr>
      <w:r>
        <w:rPr>
          <w:b/>
          <w:color w:val="0F172A"/>
        </w:rPr>
        <w:t xml:space="preserve">Total Addressable Market (TAM): </w:t>
      </w:r>
      <w:r>
        <w:t>более $120 млрд в год выплачивается правительствами развитых стран в качестве стимулов для технологического сектора. Общий рынок услуг по сопровождению этих вычетов составляет $18 млрд в год.</w:t>
      </w:r>
    </w:p>
    <w:p>
      <w:pPr>
        <w:pStyle w:val="ListBullet"/>
        <w:spacing w:after="100"/>
      </w:pPr>
      <w:r>
        <w:rPr>
          <w:b/>
          <w:color w:val="0F172A"/>
        </w:rPr>
        <w:t xml:space="preserve">Serviceable Addressable Market (SAM): </w:t>
      </w:r>
      <w:r>
        <w:t>$3.2 млрд — рынок автоматизированных услуг R&amp;D-комплаенса для технологических компаний среднего масштаба в США, Великобритании и Канаде.</w:t>
      </w:r>
    </w:p>
    <w:p>
      <w:pPr>
        <w:pStyle w:val="ListBullet"/>
        <w:spacing w:after="100"/>
      </w:pPr>
      <w:r>
        <w:rPr>
          <w:b/>
          <w:color w:val="0F172A"/>
        </w:rPr>
        <w:t xml:space="preserve">Serviceable Obtainable Market (SOM): </w:t>
      </w:r>
      <w:r>
        <w:t>$450 млн — доля рынка, которую GrantAI планирует занять в течение 5 лет, ориентируясь на быстрорастущие IT-компании, стартапы и венчурные студии, использующие инфраструктуру agile-разработки.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4. Разрушение традиционной индустрии и жесткий ROI</w:t>
      </w:r>
    </w:p>
    <w:p>
      <w:pPr>
        <w:spacing w:after="240"/>
      </w:pPr>
      <w:r>
        <w:t>Традиционный консалтинг берет огромную долю от оборотного капитала инновационных компаний. GrantAI предлагает беспрецедентный ROI, снижая стоимость процесса в десятки раз.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 сравнения</w:t>
            </w:r>
          </w:p>
        </w:tc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Традиционные агентства / Big-4</w:t>
            </w:r>
          </w:p>
        </w:tc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Платформа GrantAI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Финансовые затраты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15% - 25% от суммы вычета (от $15,000 до $100,000+)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подписка ($29 - $99 в месяц)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Затраты времени команды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100+ часов на звонки, интервью, сбор данных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Менее 15 минут на первоначальную настройку API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Основа доказательной базы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Субъективное интервью по памяти фаундеров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Объективный цифровой след: коммиты, логи, тайминги</w:t>
            </w:r>
          </w:p>
        </w:tc>
      </w:tr>
    </w:tbl>
    <w:p>
      <w:pPr>
        <w:spacing w:after="240"/>
      </w:pPr>
    </w:p>
    <w:p>
      <w:pPr>
        <w:spacing w:before="160" w:after="240"/>
      </w:pPr>
      <w:r>
        <w:rPr>
          <w:b/>
        </w:rPr>
        <w:t>Простой финансовый расчет (Кейс на вычет в $100,000):</w:t>
        <w:br/>
      </w:r>
      <w:r>
        <w:t>При работе с традиционным агентством компания отдает $20,000 комиссии. При использовании GrantAI компания платит за подписку всего около $1,200 в год. Чистая дополнительная прибыль стартапа составляет $18,800 сразу на расчетный счет. Экономический смысл перехода на нашу платформу очевиден любому CFO за 3 секунды.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5. Юнит-экономика и бизнес-показатели</w:t>
      </w:r>
    </w:p>
    <w:p>
      <w:pPr>
        <w:spacing w:after="200"/>
      </w:pPr>
      <w:r>
        <w:t>Юнит-экономика GrantAI обладает характеристиками, которые делают проект идеальным кандидатом на венчурное масштабирование (Venture Scalability):</w:t>
      </w:r>
    </w:p>
    <w:p>
      <w:pPr>
        <w:pStyle w:val="ListBullet"/>
        <w:spacing w:after="100"/>
      </w:pPr>
      <w:r>
        <w:rPr>
          <w:b/>
          <w:color w:val="0F172A"/>
        </w:rPr>
        <w:t xml:space="preserve">Высокая LTV и низкий Churn: </w:t>
      </w:r>
      <w:r>
        <w:t>Налоговые вычеты R&amp;D — это повторяющийся ежегодный процесс. Компании не меняют комплаенс-системы, в которые интегрирован их чувствительный код. Ожидаемый LTV клиента превышает 7 лет.</w:t>
      </w:r>
    </w:p>
    <w:p>
      <w:pPr>
        <w:pStyle w:val="ListBullet"/>
        <w:spacing w:after="100"/>
      </w:pPr>
      <w:r>
        <w:rPr>
          <w:b/>
          <w:color w:val="0F172A"/>
        </w:rPr>
        <w:t xml:space="preserve">Идеальное соотношение LTV к CAC (LTV:CAC &gt; 5:1): </w:t>
      </w:r>
      <w:r>
        <w:t>Благодаря модели Product-Led Growth (PLG) и автоматическим виральным петлям, стоимость привлечения платящего пользователя (CAC) крайне низка при высоком чеке подписки.</w:t>
      </w:r>
    </w:p>
    <w:p>
      <w:pPr>
        <w:pStyle w:val="ListBullet"/>
        <w:spacing w:after="100"/>
      </w:pPr>
      <w:r>
        <w:rPr>
          <w:b/>
          <w:color w:val="0F172A"/>
        </w:rPr>
        <w:t xml:space="preserve">Маржинальность валовой прибыли 92%+: </w:t>
      </w:r>
      <w:r>
        <w:t>Отсутствие ручной работы и автоматическая обработка данных исключают необходимость содержать штат дорогих бухгалтеров-аналитиков.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6. Стратегия дистрибуции и виральные петли</w:t>
      </w:r>
    </w:p>
    <w:p>
      <w:pPr>
        <w:spacing w:after="200"/>
      </w:pPr>
      <w:r>
        <w:t>Мы масштабируемся быстрее конкурентов за счет использования трех взаимодополняющих каналов:</w:t>
      </w:r>
    </w:p>
    <w:p>
      <w:pPr>
        <w:pStyle w:val="ListBullet"/>
        <w:spacing w:after="100"/>
      </w:pPr>
      <w:r>
        <w:rPr>
          <w:b/>
          <w:color w:val="0F172A"/>
        </w:rPr>
        <w:t xml:space="preserve">Product-Led Growth (PLG): </w:t>
      </w:r>
      <w:r>
        <w:t>Бесплатный интерактивный виджет-калькулятор на главной странице позволяет CTO мгновенно рассчитать потенциальный объем налогового вычета, просто введя количество инженеров. Это создает вау-эффект и мотивирует подключить API.</w:t>
      </w:r>
    </w:p>
    <w:p>
      <w:pPr>
        <w:pStyle w:val="ListBullet"/>
        <w:spacing w:after="100"/>
      </w:pPr>
      <w:r>
        <w:rPr>
          <w:b/>
          <w:color w:val="0F172A"/>
        </w:rPr>
        <w:t xml:space="preserve">Венчурные фонды и акселераторы (B2B2C): </w:t>
      </w:r>
      <w:r>
        <w:t>Мы заключаем эксклюзивные соглашения с венчурными фондами (Y Combinator, Techstars, локальные фонды). VCs рекомендуют GrantAI своим портфельным компаниям, так как это мгновенно увеличивает их выживаемость (runway) без привлечения новых раундов.</w:t>
      </w:r>
    </w:p>
    <w:p>
      <w:pPr>
        <w:pStyle w:val="ListBullet"/>
        <w:spacing w:after="100"/>
      </w:pPr>
      <w:r>
        <w:rPr>
          <w:b/>
          <w:color w:val="0F172A"/>
        </w:rPr>
        <w:t xml:space="preserve">White-Label для бухгалтерских фирм (Revenue Share): </w:t>
      </w:r>
      <w:r>
        <w:t>Мы предоставляем традиционным бухгалтерским фирмам технологическое ядро GrantAI. Они продают его своим клиентам под собственным брендом, а мы делимся с ними комиссией. Это дает нам мгновенный доступ к десяткам тысяч B2B-клиентов без затрат на маркетинг.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7. Конкурентный ров и барьеры для входа (Defensive Moat)</w:t>
      </w:r>
    </w:p>
    <w:p>
      <w:pPr>
        <w:spacing w:after="200"/>
      </w:pPr>
      <w:r>
        <w:t>Мы строим долгосрочную технологическую монополию, защищенную несколькими уровнями барьеров:</w:t>
      </w:r>
    </w:p>
    <w:p>
      <w:pPr>
        <w:pStyle w:val="ListBullet"/>
        <w:spacing w:after="100"/>
      </w:pPr>
      <w:r>
        <w:rPr>
          <w:b/>
          <w:color w:val="0F172A"/>
        </w:rPr>
        <w:t xml:space="preserve">Сетевой эффект данных (Data Network Effect): </w:t>
      </w:r>
      <w:r>
        <w:t>Наше ИИ-ядро обучается на миллионах реальных инженерных задач, коммитов и проектов. Чем больше данных проходит через платформу, тем точнее ИИ классифицирует инновации и научно-техническую новизну. Новые конкуренты физически не смогут догнать нас по качеству распознавания.</w:t>
      </w:r>
    </w:p>
    <w:p>
      <w:pPr>
        <w:pStyle w:val="ListBullet"/>
        <w:spacing w:after="100"/>
      </w:pPr>
      <w:r>
        <w:rPr>
          <w:b/>
          <w:color w:val="0F172A"/>
        </w:rPr>
        <w:t xml:space="preserve">Высокая интеграционная зависимость (High Switching Costs): </w:t>
      </w:r>
      <w:r>
        <w:t>Интеграция с кодовой базой и таск-трекерами — это глубокий инфраструктурный шаг для любой компании. Поменяв комплаенс-систему, клиент теряет накопленную историю R&amp;D-активностей, что делает уход практически невозможным.</w:t>
      </w:r>
    </w:p>
    <w:p>
      <w:pPr>
        <w:pStyle w:val="ListBullet"/>
        <w:spacing w:after="100"/>
      </w:pPr>
      <w:r>
        <w:rPr>
          <w:b/>
          <w:color w:val="0F172A"/>
        </w:rPr>
        <w:t xml:space="preserve">SHA-256 Аудит-защита: </w:t>
      </w:r>
      <w:r>
        <w:t>Криптографическое подтверждение истории задач создает уникальный уровень доверия со стороны государственных аудиторов. Это снижает процент проверок практически до нуля, создавая надежный бренд безопасности.</w:t>
      </w:r>
    </w:p>
    <w:p>
      <w:pPr>
        <w:keepNext/>
        <w:spacing w:before="480" w:after="200"/>
      </w:pPr>
      <w:r>
        <w:rPr>
          <w:rFonts w:ascii="Arial" w:hAnsi="Arial"/>
          <w:b/>
          <w:color w:val="0F172A"/>
          <w:sz w:val="32"/>
        </w:rPr>
        <w:t>8. Инвестиционный запрос и дорожная карта (Seed Round)</w:t>
      </w:r>
    </w:p>
    <w:p>
      <w:pPr>
        <w:spacing w:after="200"/>
      </w:pPr>
      <w:r>
        <w:t>Команда GrantAI успешно подтвердила Product-Market Fit на рынках Великобритании и СНГ, получив стабильный поток коммерческих лидов. Мы открываем инвестиционный Seed-раунд в размере $1,500,000 в обмен на долю в компании для реализации следующих целей:</w:t>
      </w:r>
    </w:p>
    <w:p>
      <w:pPr>
        <w:pStyle w:val="ListBullet"/>
        <w:spacing w:after="100"/>
      </w:pPr>
      <w:r>
        <w:rPr>
          <w:b/>
          <w:color w:val="0F172A"/>
        </w:rPr>
        <w:t xml:space="preserve">Экспансия в США и Канаду (45% капитала): </w:t>
      </w:r>
      <w:r>
        <w:t>Настройка ИИ-движка под стандарты IRS Section 174 (США) и SR&amp;ED (Канада) для выхода на крупнейшие в мире рынки инновационных вычетов.</w:t>
      </w:r>
    </w:p>
    <w:p>
      <w:pPr>
        <w:pStyle w:val="ListBullet"/>
        <w:spacing w:after="100"/>
      </w:pPr>
      <w:r>
        <w:rPr>
          <w:b/>
          <w:color w:val="0F172A"/>
        </w:rPr>
        <w:t xml:space="preserve">Развитие PLG-маркетинга и продаж (35% капитала): </w:t>
      </w:r>
      <w:r>
        <w:t>Масштабирование B2B-отдела продаж, запуск глобальных рекламных кампаний и подписание контрактов с VC-фондами первого эшелона.</w:t>
      </w:r>
    </w:p>
    <w:p>
      <w:pPr>
        <w:pStyle w:val="ListBullet"/>
        <w:spacing w:after="100"/>
      </w:pPr>
      <w:r>
        <w:rPr>
          <w:b/>
          <w:color w:val="0F172A"/>
        </w:rPr>
        <w:t xml:space="preserve">Патентная защита интеллектуальной собственности (20% капитала): </w:t>
      </w:r>
      <w:r>
        <w:t>Регистрация патентов на ИИ-алгоритм автоматической классификации научно-технической новизны в коде и таск-трекерах.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