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CCAP - Extrait - Pieces constitutives du marche</w:t>
      </w:r>
    </w:p>
    <w:p>
      <w:r>
        <w:t>Maison de quartier des Tilleuls (projet fictif d'essai)</w:t>
      </w:r>
    </w:p>
    <w:p>
      <w:r>
        <w:t>Article 2 - Pieces contractuelles particulieres :</w:t>
      </w:r>
    </w:p>
    <w:p>
      <w:r>
        <w:t>- le present CCAP ;</w:t>
      </w:r>
    </w:p>
    <w:p>
      <w:r>
        <w:t>- les CCTP des lots 02, 03 et 07 ;</w:t>
      </w:r>
    </w:p>
    <w:p>
      <w:r>
        <w:t>- les DPGF des lots 02 et 03 ;</w:t>
      </w:r>
    </w:p>
    <w:p>
      <w:r>
        <w:t>- les plans architecte A-101 (plan RDC) et A-201 (coupe AA) ;</w:t>
      </w:r>
    </w:p>
    <w:p>
      <w:r>
        <w:t>- le carnet de details DET-01 a DET-15, dont le detail D12 (garde-corps).</w:t>
      </w:r>
    </w:p>
    <w:p>
      <w:r>
        <w:t>Article 3 - Delais : selon planning a etablir en periode de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