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87.0" w:type="dxa"/>
        <w:tblLayout w:type="fixed"/>
        <w:tblLook w:val="0000"/>
      </w:tblPr>
      <w:tblGrid>
        <w:gridCol w:w="2454"/>
        <w:gridCol w:w="7327"/>
        <w:tblGridChange w:id="0">
          <w:tblGrid>
            <w:gridCol w:w="2454"/>
            <w:gridCol w:w="7327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432" w:right="0" w:hanging="43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18416</wp:posOffset>
                  </wp:positionH>
                  <wp:positionV relativeFrom="paragraph">
                    <wp:posOffset>104140</wp:posOffset>
                  </wp:positionV>
                  <wp:extent cx="1390650" cy="603885"/>
                  <wp:effectExtent b="0" l="0" r="0" t="0"/>
                  <wp:wrapSquare wrapText="bothSides" distB="0" distT="0" distL="114300" distR="11430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038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 UNIVERSITÁRIO DE JOÃO PESSOA – UNIPÊ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PRÓ-REITORIA ACADÊMICA - PROAC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COORDENAÇÃO DO CURSO DE CIÊNCIA DA COMPUTAÇÃO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DISCIPLINA: TRABALHO DE CONCLUSÃO 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1.0" w:type="dxa"/>
        <w:jc w:val="left"/>
        <w:tblInd w:w="-87.0" w:type="dxa"/>
        <w:tblLayout w:type="fixed"/>
        <w:tblLook w:val="0000"/>
      </w:tblPr>
      <w:tblGrid>
        <w:gridCol w:w="4958"/>
        <w:gridCol w:w="4823"/>
        <w:gridCol w:w="30"/>
        <w:tblGridChange w:id="0">
          <w:tblGrid>
            <w:gridCol w:w="4958"/>
            <w:gridCol w:w="4823"/>
            <w:gridCol w:w="3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PLANO DE TRABALHO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36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IDENTIFICAÇÃO DO ALUNO E ORIENTADOR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ALUNO: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Nitai Charan Álvares Pereira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FONE: (83) 99971-2404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E-MAIL: nitaicharan@gmail.com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ORIENTADOR: F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ábio Falcão de França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57" w:right="0" w:hanging="357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 DO TEMA/QUESTÃO DE PESQUISA: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CONSULTAS COM LINGUAGEM NATURAL NO BANCO DE DADOS ELASTICSEARCH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ÁREA(S) DE CONCENTRAÇÃO: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Processamento de linguagem natural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JUSTIFICATIVA DO TEMA: (máximo 400 palavras)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A evolução dos sistemas Web e o crescimento do número de usuários conectados através das redes têm influenciado no aumento do volume de dados. Com este perfil, torna-se mais difícil manusear esses dados por parte dos administradores. Além disso, tal crescimento exige SGBDs mais rápidos e ao mesmo tempo flexíveis, com possibilidades de adaptação a mudanças. Requisitos como: maior capacidade de armazenamento, escalabilidade de informações, e gerenciamento de dados em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clusters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são essenciais para tratamento dessa nova demanda de dados (SHARMA; DAVE, 2012).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Diante dessas exigências, surgiu uma nova opção de gerenciamento de dados para contribuir no controle dessa demanda. Denominado de NoSQL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Only SQL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em português Não Apenas SQL), os bancos de dados não-relacionais trazem alguns benefícios para o gerenciamento de grandes volumes de dados, visto que, além de possuir alta capacidade de armazenamento, eles também caracterizam-se por ser: distribuídos, de código aberto e escalável horizontalmente, ter ausência de esquema ou esquema flexível, suporte a replicação nativo e acesso via APIs simples (NOSQL Apud DIANA; GEROSA, 2010). 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Os bancos NoSQL dividem-se basicamente em quatro tipos: os bancos de dados de chave-valor; de família de colunas; de grafos e o aqueles baseados em documentos, que possuem funções nativas de replicação de dados, grande disponibilidade, alta performance e uma fácil escalabilidade horizontal. Além disso, é um tipo de banco que não tem o conceito de tabelas, livre de esquemas ou linhas (LÓSCIO; OLIVEIRA; PONTES, 2011).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Porém, qual a maior necessidade de uso desta nova tecnologia? Quando utilizar bancos NoSQL orientados a documentos torna-se uma alternativa viável? Qual seu impacto diante de um projeto? Para iniciar uma discussão é necessário entender suas principais características, assim como, identificar o benefício contido nesta escolha, a fim de garantir sua viabilidade em um projeto e qual a melhor alternativa em meio aos diversos tipos de bancos orientados a documentos.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                               opcional na 1º entrega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 GERAL: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Analisar dois bancos de dados não-relacionais orientados a documentos a fim de estabelecer diretrizes para a escolha de uma melhor opção para gerenciamento de dados num projeto de           sistema.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360" w:lineRule="auto"/>
              <w:ind w:left="718" w:hanging="359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vertAlign w:val="baseline"/>
                <w:rtl w:val="0"/>
              </w:rPr>
              <w:t xml:space="preserve">Explorar a concepção do termo NoSQL no âmbito da multiplicidade de opções em projetos de bancos de dados; 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ind w:left="718"/>
              <w:jc w:val="both"/>
              <w:rPr>
                <w:rFonts w:ascii="Arial" w:cs="Arial" w:eastAsia="Arial" w:hAnsi="Arial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360" w:lineRule="auto"/>
              <w:ind w:left="718" w:hanging="359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vertAlign w:val="baseline"/>
                <w:rtl w:val="0"/>
              </w:rPr>
              <w:t xml:space="preserve">Investigar e comparar as duas soluções de armazenamento de dados orientados a documentos, de forma a apoiar no processo de adoção para persistência de grandes volumes de dados;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Arial" w:cs="Arial" w:eastAsia="Arial" w:hAnsi="Arial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line="360" w:lineRule="auto"/>
              <w:ind w:left="719" w:hanging="360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vertAlign w:val="baseline"/>
                <w:rtl w:val="0"/>
              </w:rPr>
              <w:t xml:space="preserve">Apresentar um estudo de caso utilizando um modelo de dados orientado a documentos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ind w:left="718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ATIVIDADES A SEREM DESENVOLVIDAS: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– Descrição das características de cada banco de dados;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– Realização de análise comparativa entre os SGBDs;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– Seleção e configuração da massa de dados a ser utilizada no estudo de caso;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– Manipulação dos dados em cada SGBD;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– Realização de testes em cada SGBD;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– Descrição dos resultados encontrados.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CRONOGRAMA: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Atividades X Período de execução (semanas)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55.999999999996" w:type="dxa"/>
              <w:jc w:val="left"/>
              <w:tblLayout w:type="fixed"/>
              <w:tblLook w:val="0000"/>
            </w:tblPr>
            <w:tblGrid>
              <w:gridCol w:w="1925"/>
              <w:gridCol w:w="513"/>
              <w:gridCol w:w="513"/>
              <w:gridCol w:w="514"/>
              <w:gridCol w:w="513"/>
              <w:gridCol w:w="514"/>
              <w:gridCol w:w="513"/>
              <w:gridCol w:w="513"/>
              <w:gridCol w:w="514"/>
              <w:gridCol w:w="513"/>
              <w:gridCol w:w="514"/>
              <w:gridCol w:w="513"/>
              <w:gridCol w:w="513"/>
              <w:gridCol w:w="514"/>
              <w:gridCol w:w="513"/>
              <w:gridCol w:w="544"/>
              <w:tblGridChange w:id="0">
                <w:tblGrid>
                  <w:gridCol w:w="1925"/>
                  <w:gridCol w:w="513"/>
                  <w:gridCol w:w="513"/>
                  <w:gridCol w:w="514"/>
                  <w:gridCol w:w="513"/>
                  <w:gridCol w:w="514"/>
                  <w:gridCol w:w="513"/>
                  <w:gridCol w:w="513"/>
                  <w:gridCol w:w="514"/>
                  <w:gridCol w:w="513"/>
                  <w:gridCol w:w="514"/>
                  <w:gridCol w:w="513"/>
                  <w:gridCol w:w="513"/>
                  <w:gridCol w:w="514"/>
                  <w:gridCol w:w="513"/>
                  <w:gridCol w:w="544"/>
                </w:tblGrid>
              </w:tblGridChange>
            </w:tblGrid>
            <w:tr>
              <w:trPr>
                <w:trHeight w:val="8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         PERÍODO</w:t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ATIVIDADES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bfbfbf" w:val="clear"/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COMENTÁRIOS: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577840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577840" cy="12700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F">
      <w:pPr>
        <w:keepNext w:val="1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right="0" w:hanging="1008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 do Orientador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57784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577840" cy="1270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4">
      <w:pPr>
        <w:keepNext w:val="1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right="0" w:hanging="1008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418" w:left="1701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19" w:hanging="359.99999999999994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3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5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7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1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3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7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