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59CAA" w14:textId="240F668D" w:rsidR="00A71461" w:rsidRDefault="005A73BE" w:rsidP="005A73BE">
      <w:pPr>
        <w:pStyle w:val="1"/>
        <w:rPr>
          <w:rtl/>
        </w:rPr>
      </w:pPr>
      <w:r>
        <w:rPr>
          <w:rFonts w:hint="cs"/>
          <w:rtl/>
        </w:rPr>
        <w:t xml:space="preserve">ייהרג ואל יעבור </w:t>
      </w:r>
      <w:r>
        <w:rPr>
          <w:rtl/>
        </w:rPr>
        <w:t>–</w:t>
      </w:r>
      <w:r>
        <w:rPr>
          <w:rFonts w:hint="cs"/>
          <w:rtl/>
        </w:rPr>
        <w:t xml:space="preserve"> </w:t>
      </w:r>
      <w:r w:rsidR="00994DB5">
        <w:rPr>
          <w:rFonts w:hint="cs"/>
          <w:rtl/>
        </w:rPr>
        <w:t>חלק א'</w:t>
      </w:r>
    </w:p>
    <w:p w14:paraId="1173077A" w14:textId="12AFCBA3" w:rsidR="005A73BE" w:rsidRDefault="005A73BE" w:rsidP="005A73BE">
      <w:pPr>
        <w:rPr>
          <w:rtl/>
        </w:rPr>
      </w:pPr>
      <w:r>
        <w:rPr>
          <w:rFonts w:hint="cs"/>
          <w:rtl/>
        </w:rPr>
        <w:t>הגמרא</w:t>
      </w:r>
      <w:r w:rsidR="00C87D39">
        <w:rPr>
          <w:rStyle w:val="ab"/>
          <w:rtl/>
        </w:rPr>
        <w:footnoteReference w:id="1"/>
      </w:r>
      <w:r>
        <w:rPr>
          <w:rFonts w:hint="cs"/>
          <w:rtl/>
        </w:rPr>
        <w:t xml:space="preserve"> אמרה </w:t>
      </w:r>
      <w:r w:rsidR="003D6A71">
        <w:rPr>
          <w:rFonts w:hint="cs"/>
          <w:rtl/>
        </w:rPr>
        <w:t>שכל עבירה</w:t>
      </w:r>
      <w:r>
        <w:rPr>
          <w:rFonts w:hint="cs"/>
          <w:rtl/>
        </w:rPr>
        <w:t xml:space="preserve"> שאומרים לאדם לעבור עלי</w:t>
      </w:r>
      <w:r w:rsidR="003D6A71">
        <w:rPr>
          <w:rFonts w:hint="cs"/>
          <w:rtl/>
        </w:rPr>
        <w:t>ה</w:t>
      </w:r>
      <w:r>
        <w:rPr>
          <w:rFonts w:hint="cs"/>
          <w:rtl/>
        </w:rPr>
        <w:t xml:space="preserve"> ואם לא אז הוא ייהרג </w:t>
      </w:r>
      <w:r>
        <w:rPr>
          <w:rtl/>
        </w:rPr>
        <w:t>–</w:t>
      </w:r>
      <w:r>
        <w:rPr>
          <w:rFonts w:hint="cs"/>
          <w:rtl/>
        </w:rPr>
        <w:t xml:space="preserve"> צריך לעבור ולא להיהרג, חוץ משלושה דברים </w:t>
      </w:r>
      <w:r>
        <w:rPr>
          <w:rtl/>
        </w:rPr>
        <w:t>–</w:t>
      </w:r>
      <w:r>
        <w:rPr>
          <w:rFonts w:hint="cs"/>
          <w:rtl/>
        </w:rPr>
        <w:t xml:space="preserve"> </w:t>
      </w:r>
      <w:r w:rsidR="003D6A71">
        <w:rPr>
          <w:rFonts w:hint="cs"/>
          <w:rtl/>
        </w:rPr>
        <w:t>עבודה זרה, שפיכות דמים וגילוי עריות.</w:t>
      </w:r>
    </w:p>
    <w:p w14:paraId="672BEA42" w14:textId="4799A978" w:rsidR="00AC5A90" w:rsidRDefault="005A73BE" w:rsidP="005A73BE">
      <w:pPr>
        <w:rPr>
          <w:rtl/>
        </w:rPr>
      </w:pPr>
      <w:r>
        <w:rPr>
          <w:rFonts w:hint="cs"/>
          <w:rtl/>
        </w:rPr>
        <w:t xml:space="preserve">ר' ישמעאל אומר </w:t>
      </w:r>
      <w:r w:rsidR="00AC5A90">
        <w:rPr>
          <w:rFonts w:hint="cs"/>
          <w:rtl/>
        </w:rPr>
        <w:t xml:space="preserve">שאדם צריך לעבור על ע"ז ולא להיהרג </w:t>
      </w:r>
      <w:r w:rsidR="00751B01">
        <w:rPr>
          <w:rFonts w:hint="cs"/>
          <w:rtl/>
        </w:rPr>
        <w:t xml:space="preserve">(כאשר זה לא בפרהסיא) </w:t>
      </w:r>
      <w:r w:rsidR="00AC5A90">
        <w:rPr>
          <w:rFonts w:hint="cs"/>
          <w:rtl/>
        </w:rPr>
        <w:t xml:space="preserve">– כי כתוב </w:t>
      </w:r>
      <w:r w:rsidRPr="00127342">
        <w:rPr>
          <w:rStyle w:val="ac"/>
          <w:rFonts w:hint="cs"/>
          <w:rtl/>
        </w:rPr>
        <w:t>"וחי בהם"</w:t>
      </w:r>
      <w:r>
        <w:rPr>
          <w:rFonts w:hint="cs"/>
          <w:rtl/>
        </w:rPr>
        <w:t xml:space="preserve"> שהאדם מצווה לחיות</w:t>
      </w:r>
      <w:r w:rsidR="00615CE8">
        <w:rPr>
          <w:rFonts w:hint="cs"/>
          <w:rtl/>
        </w:rPr>
        <w:t xml:space="preserve"> ולא למות ב</w:t>
      </w:r>
      <w:r w:rsidR="006153BA">
        <w:rPr>
          <w:rFonts w:hint="cs"/>
          <w:rtl/>
        </w:rPr>
        <w:t>גלל המצוות</w:t>
      </w:r>
      <w:r>
        <w:rPr>
          <w:rFonts w:hint="cs"/>
          <w:rtl/>
        </w:rPr>
        <w:t>.</w:t>
      </w:r>
    </w:p>
    <w:p w14:paraId="67C28271" w14:textId="521B9117" w:rsidR="005A73BE" w:rsidRDefault="005A73BE" w:rsidP="00AC5A90">
      <w:pPr>
        <w:rPr>
          <w:rtl/>
        </w:rPr>
      </w:pPr>
      <w:r>
        <w:rPr>
          <w:rFonts w:hint="cs"/>
          <w:rtl/>
        </w:rPr>
        <w:t>ר' אלעזר אומר</w:t>
      </w:r>
      <w:r w:rsidR="00AC5A90">
        <w:rPr>
          <w:rFonts w:hint="cs"/>
          <w:rtl/>
        </w:rPr>
        <w:t xml:space="preserve"> שצריך למסור את הנפש לגבי ע"ז </w:t>
      </w:r>
      <w:r>
        <w:rPr>
          <w:rtl/>
        </w:rPr>
        <w:t>–</w:t>
      </w:r>
      <w:r>
        <w:rPr>
          <w:rFonts w:hint="cs"/>
          <w:rtl/>
        </w:rPr>
        <w:t xml:space="preserve"> </w:t>
      </w:r>
      <w:r w:rsidR="00AC5A90">
        <w:rPr>
          <w:rFonts w:hint="cs"/>
          <w:rtl/>
        </w:rPr>
        <w:t xml:space="preserve">כי </w:t>
      </w:r>
      <w:r>
        <w:rPr>
          <w:rFonts w:hint="cs"/>
          <w:rtl/>
        </w:rPr>
        <w:t xml:space="preserve">כתוב </w:t>
      </w:r>
      <w:r w:rsidRPr="00192BF4">
        <w:rPr>
          <w:rStyle w:val="ac"/>
          <w:rFonts w:hint="cs"/>
          <w:rtl/>
        </w:rPr>
        <w:t>"ואהבת את ה' אלקיך"</w:t>
      </w:r>
      <w:r w:rsidR="003D6A71" w:rsidRPr="00192BF4">
        <w:rPr>
          <w:rFonts w:hint="cs"/>
          <w:rtl/>
        </w:rPr>
        <w:t>,</w:t>
      </w:r>
      <w:r w:rsidR="003D6A71">
        <w:rPr>
          <w:rFonts w:hint="cs"/>
          <w:rtl/>
        </w:rPr>
        <w:t xml:space="preserve"> משמע שלא תמירנו בעבודת כוכבים</w:t>
      </w:r>
      <w:r w:rsidR="003D6A71">
        <w:rPr>
          <w:rStyle w:val="ab"/>
          <w:rtl/>
        </w:rPr>
        <w:footnoteReference w:id="2"/>
      </w:r>
      <w:r w:rsidR="003D6A71">
        <w:rPr>
          <w:rFonts w:hint="cs"/>
          <w:rtl/>
        </w:rPr>
        <w:t>.</w:t>
      </w:r>
    </w:p>
    <w:p w14:paraId="30735D1B" w14:textId="4936E7C9" w:rsidR="005A73BE" w:rsidRDefault="005A73BE" w:rsidP="005A73BE">
      <w:pPr>
        <w:rPr>
          <w:rtl/>
        </w:rPr>
      </w:pPr>
      <w:r>
        <w:rPr>
          <w:rFonts w:hint="cs"/>
          <w:rtl/>
        </w:rPr>
        <w:t>אז מה לגבי ש"ד וג"ע?</w:t>
      </w:r>
    </w:p>
    <w:p w14:paraId="470436E0" w14:textId="0BA251A2" w:rsidR="005A73BE" w:rsidRDefault="005A73BE" w:rsidP="00FD2E70">
      <w:pPr>
        <w:pStyle w:val="ad"/>
        <w:rPr>
          <w:rtl/>
        </w:rPr>
      </w:pPr>
      <w:r>
        <w:rPr>
          <w:rFonts w:hint="cs"/>
          <w:rtl/>
        </w:rPr>
        <w:t>הגמרא</w:t>
      </w:r>
      <w:r w:rsidR="0010390B">
        <w:rPr>
          <w:rFonts w:hint="cs"/>
          <w:rtl/>
        </w:rPr>
        <w:t xml:space="preserve"> </w:t>
      </w:r>
      <w:r w:rsidR="00DA244C">
        <w:rPr>
          <w:rFonts w:hint="cs"/>
          <w:rtl/>
        </w:rPr>
        <w:t xml:space="preserve">בהמשך מדברת על </w:t>
      </w:r>
      <w:r>
        <w:rPr>
          <w:rFonts w:hint="cs"/>
          <w:rtl/>
        </w:rPr>
        <w:t xml:space="preserve">רוצח </w:t>
      </w:r>
      <w:r>
        <w:rPr>
          <w:rtl/>
        </w:rPr>
        <w:t>–</w:t>
      </w:r>
      <w:r>
        <w:rPr>
          <w:rFonts w:hint="cs"/>
          <w:rtl/>
        </w:rPr>
        <w:t xml:space="preserve"> יש סברא אם אומרים לאדם לך תהרוג אדם ואם לא נהרוג אותך </w:t>
      </w:r>
      <w:r>
        <w:rPr>
          <w:rtl/>
        </w:rPr>
        <w:t>–</w:t>
      </w:r>
      <w:r>
        <w:rPr>
          <w:rFonts w:hint="cs"/>
          <w:rtl/>
        </w:rPr>
        <w:t xml:space="preserve"> הוא צריך להיהרג ולא להרוג. </w:t>
      </w:r>
      <w:r w:rsidR="00FD2E70">
        <w:rPr>
          <w:rFonts w:hint="cs"/>
          <w:rtl/>
        </w:rPr>
        <w:t xml:space="preserve">והסיבה היא </w:t>
      </w:r>
      <w:r w:rsidR="00FD2E70">
        <w:rPr>
          <w:rFonts w:ascii="Shofar" w:hAnsi="Shofar" w:cs="Shofar" w:hint="cs"/>
          <w:rtl/>
        </w:rPr>
        <w:t>"מי יימר דדמא דידך סומק טפי דילמא דמא דהוא גברא סומק טפי"</w:t>
      </w:r>
      <w:r w:rsidR="003D6A71">
        <w:rPr>
          <w:rFonts w:hint="cs"/>
          <w:rtl/>
        </w:rPr>
        <w:t xml:space="preserve"> (</w:t>
      </w:r>
      <w:r w:rsidR="00506563">
        <w:rPr>
          <w:rFonts w:hint="cs"/>
          <w:rtl/>
        </w:rPr>
        <w:t>מי אמר שהוא יותר חשוב ממי שאמרו לו להרוג).</w:t>
      </w:r>
    </w:p>
    <w:p w14:paraId="5A66EAE7" w14:textId="1DCCF440" w:rsidR="005A73BE" w:rsidRDefault="005A73BE" w:rsidP="00506563">
      <w:pPr>
        <w:rPr>
          <w:rtl/>
        </w:rPr>
      </w:pPr>
      <w:r w:rsidRPr="006016D0">
        <w:rPr>
          <w:rFonts w:hint="cs"/>
          <w:u w:val="single"/>
          <w:rtl/>
        </w:rPr>
        <w:t>רש"י:</w:t>
      </w:r>
      <w:r>
        <w:rPr>
          <w:rFonts w:hint="cs"/>
          <w:rtl/>
        </w:rPr>
        <w:t xml:space="preserve"> </w:t>
      </w:r>
      <w:r w:rsidR="003D6A71" w:rsidRPr="00EF6854">
        <w:rPr>
          <w:rStyle w:val="ac"/>
          <w:rFonts w:hint="cs"/>
          <w:rtl/>
        </w:rPr>
        <w:t>"</w:t>
      </w:r>
      <w:r w:rsidRPr="00EF6854">
        <w:rPr>
          <w:rStyle w:val="ac"/>
          <w:rFonts w:hint="cs"/>
          <w:rtl/>
        </w:rPr>
        <w:t>מי יודע שיהא דמך חביב ונאה ליוצרך יותר מדם חבירך".</w:t>
      </w:r>
      <w:r>
        <w:rPr>
          <w:rFonts w:hint="cs"/>
          <w:rtl/>
        </w:rPr>
        <w:t xml:space="preserve"> בד"כ הקב"ה אומר לאנשים לחיות</w:t>
      </w:r>
      <w:r w:rsidR="00506563">
        <w:rPr>
          <w:rFonts w:hint="cs"/>
          <w:rtl/>
        </w:rPr>
        <w:t xml:space="preserve"> (</w:t>
      </w:r>
      <w:r w:rsidR="00506563">
        <w:rPr>
          <w:rStyle w:val="ac"/>
          <w:rFonts w:hint="cs"/>
          <w:rtl/>
        </w:rPr>
        <w:t>"וחי בהם"</w:t>
      </w:r>
      <w:r w:rsidR="00506563" w:rsidRPr="00506563">
        <w:rPr>
          <w:rFonts w:hint="cs"/>
          <w:rtl/>
        </w:rPr>
        <w:t>)</w:t>
      </w:r>
      <w:r>
        <w:rPr>
          <w:rFonts w:hint="cs"/>
          <w:rtl/>
        </w:rPr>
        <w:t xml:space="preserve">. אבל כאן </w:t>
      </w:r>
      <w:r w:rsidR="003D6A71">
        <w:rPr>
          <w:rFonts w:hint="cs"/>
          <w:rtl/>
        </w:rPr>
        <w:t>בכ"מ</w:t>
      </w:r>
      <w:r>
        <w:rPr>
          <w:rFonts w:hint="cs"/>
          <w:rtl/>
        </w:rPr>
        <w:t xml:space="preserve"> מישהו ימות ולכן אין לאדם היתר </w:t>
      </w:r>
      <w:r w:rsidR="003D6A71">
        <w:rPr>
          <w:rFonts w:hint="cs"/>
          <w:rtl/>
        </w:rPr>
        <w:t>לרצוח.</w:t>
      </w:r>
    </w:p>
    <w:p w14:paraId="0BFCE48F" w14:textId="401BBB91" w:rsidR="005A73BE" w:rsidRDefault="005A73BE" w:rsidP="005A73BE">
      <w:pPr>
        <w:rPr>
          <w:rtl/>
        </w:rPr>
      </w:pPr>
      <w:r>
        <w:rPr>
          <w:rFonts w:hint="cs"/>
          <w:rtl/>
        </w:rPr>
        <w:t xml:space="preserve">הראשונים דנים במקרה שבו אדם לא עושה עבירה, לדוגמה אם אומרים לאדם שיזרקו אותו על </w:t>
      </w:r>
      <w:r w:rsidR="00DC7D64">
        <w:rPr>
          <w:rFonts w:hint="cs"/>
          <w:rtl/>
        </w:rPr>
        <w:t>תינוק</w:t>
      </w:r>
      <w:r w:rsidR="002C6093">
        <w:rPr>
          <w:rFonts w:hint="cs"/>
          <w:rtl/>
        </w:rPr>
        <w:t xml:space="preserve"> וזה יגרום למותו</w:t>
      </w:r>
      <w:r w:rsidR="001C00AE">
        <w:rPr>
          <w:rFonts w:hint="cs"/>
          <w:rtl/>
        </w:rPr>
        <w:t xml:space="preserve"> –</w:t>
      </w:r>
      <w:r>
        <w:rPr>
          <w:rFonts w:hint="cs"/>
          <w:rtl/>
        </w:rPr>
        <w:t xml:space="preserve"> הזורק הוא הרוצח</w:t>
      </w:r>
      <w:r w:rsidR="004E7E0B">
        <w:rPr>
          <w:rFonts w:hint="cs"/>
          <w:rtl/>
        </w:rPr>
        <w:t>, ולא הנזרק</w:t>
      </w:r>
      <w:r>
        <w:rPr>
          <w:rFonts w:hint="cs"/>
          <w:rtl/>
        </w:rPr>
        <w:t>. האם במקרה כזה גם נגיד לבן אדם</w:t>
      </w:r>
      <w:r w:rsidR="00B3012D">
        <w:rPr>
          <w:rFonts w:hint="cs"/>
          <w:rtl/>
        </w:rPr>
        <w:t xml:space="preserve"> </w:t>
      </w:r>
      <w:r w:rsidR="00656980">
        <w:rPr>
          <w:rFonts w:hint="cs"/>
          <w:rtl/>
        </w:rPr>
        <w:t>(</w:t>
      </w:r>
      <w:r w:rsidR="00A32253">
        <w:rPr>
          <w:rFonts w:hint="cs"/>
          <w:rtl/>
        </w:rPr>
        <w:t>לנזרק</w:t>
      </w:r>
      <w:r w:rsidR="00656980">
        <w:rPr>
          <w:rFonts w:hint="cs"/>
          <w:rtl/>
        </w:rPr>
        <w:t>)</w:t>
      </w:r>
      <w:r>
        <w:rPr>
          <w:rFonts w:hint="cs"/>
          <w:rtl/>
        </w:rPr>
        <w:t xml:space="preserve"> "ייהרג ובל יעבור"?</w:t>
      </w:r>
    </w:p>
    <w:p w14:paraId="34B67470" w14:textId="675D2FD0" w:rsidR="006D115E" w:rsidRPr="003A375A" w:rsidRDefault="006D115E" w:rsidP="006D115E">
      <w:pPr>
        <w:rPr>
          <w:rtl/>
        </w:rPr>
      </w:pPr>
      <w:r w:rsidRPr="003A375A">
        <w:rPr>
          <w:rtl/>
        </w:rPr>
        <w:t>במגילה</w:t>
      </w:r>
      <w:r>
        <w:rPr>
          <w:rStyle w:val="ab"/>
          <w:rtl/>
        </w:rPr>
        <w:footnoteReference w:id="3"/>
      </w:r>
      <w:r w:rsidRPr="003A375A">
        <w:rPr>
          <w:rtl/>
        </w:rPr>
        <w:t xml:space="preserve"> מסופר שאסתר נלקחה לבית אחשוורוש, יחד עם שאר הנערות הבתולות, כדי שאחשוורוש יחליט את מי למנות מלכה במקומה של ושתי.</w:t>
      </w:r>
    </w:p>
    <w:p w14:paraId="590BCCA3" w14:textId="54279DED" w:rsidR="006D115E" w:rsidRDefault="00827D3A" w:rsidP="00FF2CFC">
      <w:pPr>
        <w:rPr>
          <w:rtl/>
        </w:rPr>
      </w:pPr>
      <w:r>
        <w:rPr>
          <w:rFonts w:hint="cs"/>
          <w:rtl/>
        </w:rPr>
        <w:t>בהמשך</w:t>
      </w:r>
      <w:r w:rsidR="00BE1BE8">
        <w:rPr>
          <w:rStyle w:val="ab"/>
          <w:rtl/>
        </w:rPr>
        <w:footnoteReference w:id="4"/>
      </w:r>
      <w:r>
        <w:rPr>
          <w:rFonts w:hint="cs"/>
          <w:rtl/>
        </w:rPr>
        <w:t xml:space="preserve"> </w:t>
      </w:r>
      <w:r w:rsidR="00CB3E3C">
        <w:rPr>
          <w:rFonts w:hint="cs"/>
          <w:rtl/>
        </w:rPr>
        <w:t xml:space="preserve">הגמרא שואלת על אסתר, למה היא לא </w:t>
      </w:r>
      <w:r w:rsidR="000B591A">
        <w:rPr>
          <w:rFonts w:hint="cs"/>
          <w:rtl/>
        </w:rPr>
        <w:t>מסרה את נפשה</w:t>
      </w:r>
      <w:r w:rsidR="00CB3E3C">
        <w:rPr>
          <w:rFonts w:hint="cs"/>
          <w:rtl/>
        </w:rPr>
        <w:t>? הרי זה היה בפרהסיא!</w:t>
      </w:r>
    </w:p>
    <w:p w14:paraId="2C3AE569" w14:textId="09091D67" w:rsidR="005C6586" w:rsidRDefault="005C6586" w:rsidP="005C6586">
      <w:pPr>
        <w:rPr>
          <w:rtl/>
        </w:rPr>
      </w:pPr>
      <w:r>
        <w:rPr>
          <w:rFonts w:hint="cs"/>
          <w:rtl/>
        </w:rPr>
        <w:t xml:space="preserve">אביי: אסתר לא עשתה מעשה. </w:t>
      </w:r>
      <w:r w:rsidR="000776FA">
        <w:rPr>
          <w:rFonts w:hint="cs"/>
          <w:rtl/>
        </w:rPr>
        <w:t>רבא: זה היה בשביל הנאת הגוי שרצה את זה ואין כאן חילול השם.</w:t>
      </w:r>
    </w:p>
    <w:p w14:paraId="6278BEB5" w14:textId="79EF2B81" w:rsidR="005C6586" w:rsidRDefault="005C6586" w:rsidP="005C6586">
      <w:pPr>
        <w:rPr>
          <w:rtl/>
        </w:rPr>
      </w:pPr>
      <w:r w:rsidRPr="006016D0">
        <w:rPr>
          <w:rFonts w:hint="cs"/>
          <w:u w:val="single"/>
          <w:rtl/>
        </w:rPr>
        <w:t>תוס'</w:t>
      </w:r>
      <w:r w:rsidR="00195CAC" w:rsidRPr="006016D0">
        <w:rPr>
          <w:rStyle w:val="ab"/>
          <w:u w:val="single"/>
          <w:rtl/>
        </w:rPr>
        <w:footnoteReference w:id="5"/>
      </w:r>
      <w:r w:rsidRPr="006016D0">
        <w:rPr>
          <w:rFonts w:hint="cs"/>
          <w:u w:val="single"/>
          <w:rtl/>
        </w:rPr>
        <w:t>:</w:t>
      </w:r>
      <w:r w:rsidR="00702278">
        <w:rPr>
          <w:rFonts w:hint="cs"/>
          <w:rtl/>
        </w:rPr>
        <w:t xml:space="preserve"> בלי קשר לפרהסיא, </w:t>
      </w:r>
      <w:r w:rsidR="00702278" w:rsidRPr="00083766">
        <w:rPr>
          <w:rStyle w:val="af6"/>
          <w:rFonts w:hint="cs"/>
          <w:rtl/>
        </w:rPr>
        <w:t>הרי אסתר עברה על ג"ע</w:t>
      </w:r>
      <w:r w:rsidR="00702278">
        <w:rPr>
          <w:rFonts w:hint="cs"/>
          <w:rtl/>
        </w:rPr>
        <w:t>, אז למה זה היה מותר</w:t>
      </w:r>
      <w:r>
        <w:rPr>
          <w:rFonts w:hint="cs"/>
          <w:rtl/>
        </w:rPr>
        <w:t>?</w:t>
      </w:r>
    </w:p>
    <w:p w14:paraId="04DEFA63" w14:textId="7991BA78" w:rsidR="00192BF4" w:rsidRPr="001654D8" w:rsidRDefault="005C6586" w:rsidP="00192BF4">
      <w:pPr>
        <w:rPr>
          <w:rStyle w:val="af6"/>
          <w:rtl/>
        </w:rPr>
      </w:pPr>
      <w:r w:rsidRPr="006016D0">
        <w:rPr>
          <w:rFonts w:hint="cs"/>
          <w:u w:val="single"/>
          <w:rtl/>
        </w:rPr>
        <w:t>ר"ת</w:t>
      </w:r>
      <w:r>
        <w:rPr>
          <w:rFonts w:hint="cs"/>
          <w:rtl/>
        </w:rPr>
        <w:t xml:space="preserve"> מתרץ</w:t>
      </w:r>
      <w:r w:rsidR="00C966FB">
        <w:rPr>
          <w:rFonts w:hint="cs"/>
          <w:rtl/>
        </w:rPr>
        <w:t xml:space="preserve"> </w:t>
      </w:r>
      <w:r w:rsidR="00C966FB">
        <w:rPr>
          <w:rStyle w:val="ac"/>
          <w:rFonts w:hint="cs"/>
          <w:rtl/>
        </w:rPr>
        <w:t>"אין חייבים מיתה על בעילת עובד כוכבים"</w:t>
      </w:r>
      <w:r w:rsidR="00192BF4">
        <w:rPr>
          <w:rFonts w:hint="cs"/>
          <w:rtl/>
        </w:rPr>
        <w:t>.</w:t>
      </w:r>
    </w:p>
    <w:p w14:paraId="0CB1140E" w14:textId="4A5D0E55" w:rsidR="005C6586" w:rsidRPr="00AF2DBF" w:rsidRDefault="005C6586" w:rsidP="005C6586">
      <w:pPr>
        <w:rPr>
          <w:rtl/>
        </w:rPr>
      </w:pPr>
      <w:r w:rsidRPr="006016D0">
        <w:rPr>
          <w:rFonts w:hint="cs"/>
          <w:u w:val="single"/>
          <w:rtl/>
        </w:rPr>
        <w:t>ריב"ם</w:t>
      </w:r>
      <w:r>
        <w:rPr>
          <w:rFonts w:hint="cs"/>
          <w:rtl/>
        </w:rPr>
        <w:t xml:space="preserve"> </w:t>
      </w:r>
      <w:r w:rsidR="00192BF4">
        <w:rPr>
          <w:rFonts w:hint="cs"/>
          <w:rtl/>
        </w:rPr>
        <w:t>מפריך את תירוצו של ר"ת ו</w:t>
      </w:r>
      <w:r>
        <w:rPr>
          <w:rFonts w:hint="cs"/>
          <w:rtl/>
        </w:rPr>
        <w:t xml:space="preserve">מתרץ </w:t>
      </w:r>
      <w:r w:rsidRPr="00127342">
        <w:rPr>
          <w:rStyle w:val="af6"/>
          <w:rFonts w:hint="cs"/>
          <w:rtl/>
        </w:rPr>
        <w:t>שאסתר לא עשתה שום דבר,</w:t>
      </w:r>
      <w:r>
        <w:rPr>
          <w:rFonts w:hint="cs"/>
          <w:rtl/>
        </w:rPr>
        <w:t xml:space="preserve"> ומסירת הנפש בג"ע היא רק באדם שעושה מעשה</w:t>
      </w:r>
      <w:r w:rsidR="00192BF4">
        <w:rPr>
          <w:rFonts w:hint="cs"/>
          <w:rtl/>
        </w:rPr>
        <w:t>,</w:t>
      </w:r>
      <w:r>
        <w:rPr>
          <w:rFonts w:hint="cs"/>
          <w:rtl/>
        </w:rPr>
        <w:t xml:space="preserve"> ומביא ראיה מרוצח </w:t>
      </w:r>
      <w:r>
        <w:rPr>
          <w:rtl/>
        </w:rPr>
        <w:t>–</w:t>
      </w:r>
      <w:r>
        <w:rPr>
          <w:rFonts w:hint="cs"/>
          <w:rtl/>
        </w:rPr>
        <w:t xml:space="preserve"> מה שאמרו על רוצח שצריך למסור את נפשו זה רק כשאומרים לו לעשות מעשה. אם זורקים אותו על תינוק והתינוק מת מזה </w:t>
      </w:r>
      <w:r>
        <w:rPr>
          <w:rtl/>
        </w:rPr>
        <w:t>–</w:t>
      </w:r>
      <w:r>
        <w:rPr>
          <w:rFonts w:hint="cs"/>
          <w:rtl/>
        </w:rPr>
        <w:t xml:space="preserve"> הוא לא צריך להיהרג על זה.</w:t>
      </w:r>
      <w:r w:rsidR="00AF2DBF">
        <w:rPr>
          <w:rFonts w:hint="cs"/>
          <w:rtl/>
        </w:rPr>
        <w:t xml:space="preserve"> (</w:t>
      </w:r>
      <w:r w:rsidR="00AF2DBF">
        <w:rPr>
          <w:rStyle w:val="ac"/>
          <w:rFonts w:hint="cs"/>
          <w:rtl/>
        </w:rPr>
        <w:t>"קרקע עולם"</w:t>
      </w:r>
      <w:r w:rsidR="00AF2DBF">
        <w:rPr>
          <w:rFonts w:hint="cs"/>
          <w:rtl/>
        </w:rPr>
        <w:t>).</w:t>
      </w:r>
    </w:p>
    <w:p w14:paraId="59728A0A" w14:textId="6A7FB9B8" w:rsidR="005C6586" w:rsidRDefault="005C6586" w:rsidP="005C6586">
      <w:pPr>
        <w:rPr>
          <w:rtl/>
        </w:rPr>
      </w:pPr>
    </w:p>
    <w:p w14:paraId="2F7CB792" w14:textId="77777777" w:rsidR="00367036" w:rsidRDefault="005C6586" w:rsidP="00367036">
      <w:pPr>
        <w:rPr>
          <w:rtl/>
        </w:rPr>
      </w:pPr>
      <w:r w:rsidRPr="00E9319F">
        <w:rPr>
          <w:rFonts w:hint="cs"/>
          <w:u w:val="single"/>
          <w:rtl/>
        </w:rPr>
        <w:t>רמב"ם</w:t>
      </w:r>
      <w:r w:rsidR="00C87D39" w:rsidRPr="00E9319F">
        <w:rPr>
          <w:rStyle w:val="ab"/>
          <w:u w:val="single"/>
          <w:rtl/>
        </w:rPr>
        <w:footnoteReference w:id="6"/>
      </w:r>
      <w:r w:rsidR="00C87D39" w:rsidRPr="00E9319F">
        <w:rPr>
          <w:rFonts w:hint="cs"/>
          <w:u w:val="single"/>
          <w:rtl/>
        </w:rPr>
        <w:t>:</w:t>
      </w:r>
      <w:r w:rsidR="00C87D39">
        <w:rPr>
          <w:rFonts w:hint="cs"/>
          <w:rtl/>
        </w:rPr>
        <w:t xml:space="preserve"> </w:t>
      </w:r>
      <w:r>
        <w:rPr>
          <w:rFonts w:hint="cs"/>
          <w:rtl/>
        </w:rPr>
        <w:t>ייהרג ובל יעבור בג"ע ש"ד וע"ז</w:t>
      </w:r>
      <w:r w:rsidR="00367036">
        <w:rPr>
          <w:rFonts w:hint="cs"/>
          <w:rtl/>
        </w:rPr>
        <w:t>.</w:t>
      </w:r>
    </w:p>
    <w:p w14:paraId="4B959656" w14:textId="69FF70C1" w:rsidR="00367036" w:rsidRPr="003A375A" w:rsidRDefault="005C6586" w:rsidP="00367036">
      <w:pPr>
        <w:rPr>
          <w:rtl/>
        </w:rPr>
      </w:pPr>
      <w:r w:rsidRPr="00E9319F">
        <w:rPr>
          <w:rFonts w:hint="cs"/>
          <w:u w:val="single"/>
          <w:rtl/>
        </w:rPr>
        <w:t>ר' חיים</w:t>
      </w:r>
      <w:r w:rsidR="004134E5" w:rsidRPr="00E9319F">
        <w:rPr>
          <w:rFonts w:hint="cs"/>
          <w:u w:val="single"/>
          <w:rtl/>
        </w:rPr>
        <w:t xml:space="preserve"> הלוי</w:t>
      </w:r>
      <w:r w:rsidR="00C87D39" w:rsidRPr="00E9319F">
        <w:rPr>
          <w:rStyle w:val="ab"/>
          <w:u w:val="single"/>
          <w:rtl/>
        </w:rPr>
        <w:footnoteReference w:id="7"/>
      </w:r>
      <w:r w:rsidRPr="00E9319F">
        <w:rPr>
          <w:rFonts w:hint="cs"/>
          <w:u w:val="single"/>
          <w:rtl/>
        </w:rPr>
        <w:t>:</w:t>
      </w:r>
      <w:r w:rsidR="00367036">
        <w:rPr>
          <w:rFonts w:hint="cs"/>
          <w:rtl/>
        </w:rPr>
        <w:t xml:space="preserve"> זה שהרמב"ם לא הזכיר</w:t>
      </w:r>
      <w:r w:rsidR="00D1422A">
        <w:rPr>
          <w:rFonts w:hint="cs"/>
          <w:rtl/>
        </w:rPr>
        <w:t xml:space="preserve"> כלל את</w:t>
      </w:r>
      <w:r w:rsidR="00367036">
        <w:rPr>
          <w:rFonts w:hint="cs"/>
          <w:rtl/>
        </w:rPr>
        <w:t xml:space="preserve"> "קרקע עולם" משמע שחולק על זה, וסובר שבכל מקרה אדם צריך להיהרג ולא לעבור על ג"ע.</w:t>
      </w:r>
    </w:p>
    <w:p w14:paraId="454ABA44" w14:textId="7B78CFBE" w:rsidR="005C5485" w:rsidRDefault="005C6586" w:rsidP="00C87D39">
      <w:pPr>
        <w:rPr>
          <w:rtl/>
        </w:rPr>
      </w:pPr>
      <w:r>
        <w:rPr>
          <w:rFonts w:hint="cs"/>
          <w:rtl/>
        </w:rPr>
        <w:lastRenderedPageBreak/>
        <w:t>חלק מהראשונים תירצו</w:t>
      </w:r>
      <w:r w:rsidR="001654D8">
        <w:rPr>
          <w:rStyle w:val="ab"/>
          <w:rtl/>
        </w:rPr>
        <w:footnoteReference w:id="8"/>
      </w:r>
      <w:r>
        <w:rPr>
          <w:rFonts w:hint="cs"/>
          <w:rtl/>
        </w:rPr>
        <w:t xml:space="preserve"> </w:t>
      </w:r>
      <w:r w:rsidR="00F16E7D">
        <w:rPr>
          <w:rFonts w:hint="cs"/>
          <w:rtl/>
        </w:rPr>
        <w:t>ש</w:t>
      </w:r>
      <w:r w:rsidR="002279F5">
        <w:rPr>
          <w:rFonts w:hint="cs"/>
          <w:rtl/>
        </w:rPr>
        <w:t>הסיפור עם אסתר</w:t>
      </w:r>
      <w:r w:rsidR="00F16E7D">
        <w:rPr>
          <w:rFonts w:hint="cs"/>
          <w:rtl/>
        </w:rPr>
        <w:t xml:space="preserve"> בכלל לא היה נחשב עריות, </w:t>
      </w:r>
      <w:r w:rsidR="00693162">
        <w:rPr>
          <w:rFonts w:hint="cs"/>
          <w:rtl/>
        </w:rPr>
        <w:t xml:space="preserve">כי היא </w:t>
      </w:r>
      <w:r>
        <w:rPr>
          <w:rFonts w:hint="cs"/>
          <w:rtl/>
        </w:rPr>
        <w:t>לא הייתה אשת איש</w:t>
      </w:r>
      <w:r w:rsidR="00C87D39">
        <w:rPr>
          <w:rFonts w:hint="cs"/>
          <w:rtl/>
        </w:rPr>
        <w:t>, או</w:t>
      </w:r>
      <w:r w:rsidR="0023700C">
        <w:rPr>
          <w:rFonts w:hint="cs"/>
          <w:rtl/>
        </w:rPr>
        <w:t xml:space="preserve"> </w:t>
      </w:r>
      <w:r w:rsidR="00225CE1">
        <w:rPr>
          <w:rFonts w:hint="cs"/>
          <w:rtl/>
        </w:rPr>
        <w:t>כי אחשוורוש היה</w:t>
      </w:r>
      <w:r w:rsidR="00C87D39">
        <w:rPr>
          <w:rFonts w:hint="cs"/>
          <w:rtl/>
        </w:rPr>
        <w:t xml:space="preserve"> גוי</w:t>
      </w:r>
      <w:r w:rsidR="00F71BCD">
        <w:rPr>
          <w:rStyle w:val="ab"/>
          <w:rtl/>
        </w:rPr>
        <w:footnoteReference w:id="9"/>
      </w:r>
      <w:r w:rsidR="00C87D39">
        <w:rPr>
          <w:rFonts w:hint="cs"/>
          <w:rtl/>
        </w:rPr>
        <w:t>.</w:t>
      </w:r>
    </w:p>
    <w:p w14:paraId="06274F59" w14:textId="166DE41D" w:rsidR="00765DF9" w:rsidRDefault="00FC0D7D" w:rsidP="00016A8F">
      <w:pPr>
        <w:rPr>
          <w:rtl/>
        </w:rPr>
      </w:pPr>
      <w:r>
        <w:rPr>
          <w:rFonts w:hint="cs"/>
          <w:rtl/>
        </w:rPr>
        <w:t>אבל עדיין צ"ע כי התו</w:t>
      </w:r>
      <w:r w:rsidR="00AD5A34">
        <w:rPr>
          <w:rFonts w:hint="cs"/>
          <w:rtl/>
        </w:rPr>
        <w:t>ס</w:t>
      </w:r>
      <w:r w:rsidR="00F474B6">
        <w:rPr>
          <w:rFonts w:hint="cs"/>
          <w:rtl/>
        </w:rPr>
        <w:t>' לעיל</w:t>
      </w:r>
      <w:r>
        <w:rPr>
          <w:rFonts w:hint="cs"/>
          <w:rtl/>
        </w:rPr>
        <w:t xml:space="preserve"> הוכיחו מרוצח שבמקרה של "שב ואל תעשה" אינו מחויב למסור את עצמו!</w:t>
      </w:r>
      <w:r w:rsidR="00996193">
        <w:rPr>
          <w:rFonts w:hint="cs"/>
          <w:rtl/>
        </w:rPr>
        <w:t xml:space="preserve"> אז למה הרמב"ם פסק שבכל מקרה ייהרג ולא יעבור?</w:t>
      </w:r>
    </w:p>
    <w:p w14:paraId="10D4FC0A" w14:textId="77777777" w:rsidR="00016A8F" w:rsidRDefault="00016A8F" w:rsidP="00016A8F">
      <w:pPr>
        <w:rPr>
          <w:rFonts w:hint="cs"/>
          <w:rtl/>
        </w:rPr>
      </w:pPr>
    </w:p>
    <w:p w14:paraId="07396FF2" w14:textId="76E35FBA" w:rsidR="00914790" w:rsidRDefault="00F82AAF" w:rsidP="007110FE">
      <w:pPr>
        <w:rPr>
          <w:rtl/>
        </w:rPr>
      </w:pPr>
      <w:r w:rsidRPr="008A30B1">
        <w:rPr>
          <w:rStyle w:val="ac"/>
          <w:rFonts w:hint="cs"/>
          <w:rtl/>
        </w:rPr>
        <w:t>"</w:t>
      </w:r>
      <w:r w:rsidR="006A29F2" w:rsidRPr="008A30B1">
        <w:rPr>
          <w:rStyle w:val="ac"/>
          <w:rFonts w:hint="cs"/>
          <w:rtl/>
        </w:rPr>
        <w:t>תרי גווני</w:t>
      </w:r>
      <w:r w:rsidRPr="008A30B1">
        <w:rPr>
          <w:rStyle w:val="ac"/>
          <w:rFonts w:hint="cs"/>
          <w:rtl/>
        </w:rPr>
        <w:t>"</w:t>
      </w:r>
      <w:r w:rsidR="006A29F2">
        <w:rPr>
          <w:rFonts w:hint="cs"/>
          <w:rtl/>
        </w:rPr>
        <w:t>:</w:t>
      </w:r>
    </w:p>
    <w:p w14:paraId="0BDC4C86" w14:textId="5A5C6D50" w:rsidR="00685C7A" w:rsidRDefault="00685C7A" w:rsidP="007110FE">
      <w:pPr>
        <w:rPr>
          <w:rtl/>
        </w:rPr>
      </w:pPr>
      <w:r>
        <w:rPr>
          <w:rFonts w:hint="cs"/>
          <w:rtl/>
        </w:rPr>
        <w:t>החיים שלהם שקולים. אפשר להסתכל על זה משתי נקודות מבט שונות:</w:t>
      </w:r>
    </w:p>
    <w:p w14:paraId="312E6DA2" w14:textId="5DB21B81" w:rsidR="00C87D39" w:rsidRDefault="001768C1" w:rsidP="003A375A">
      <w:pPr>
        <w:pStyle w:val="afa"/>
        <w:numPr>
          <w:ilvl w:val="0"/>
          <w:numId w:val="1"/>
        </w:numPr>
        <w:ind w:left="360"/>
      </w:pPr>
      <w:r>
        <w:rPr>
          <w:rFonts w:hint="cs"/>
          <w:rtl/>
        </w:rPr>
        <w:t>צריך להיות ב"שב ואל תעשה" ורק על מעשה בידיים ייהרג ואל יעבור.</w:t>
      </w:r>
    </w:p>
    <w:p w14:paraId="0BB63BC2" w14:textId="7924A32D" w:rsidR="00C87D39" w:rsidRDefault="00DE7D2F" w:rsidP="003A375A">
      <w:pPr>
        <w:pStyle w:val="afa"/>
        <w:numPr>
          <w:ilvl w:val="0"/>
          <w:numId w:val="1"/>
        </w:numPr>
        <w:ind w:left="360"/>
        <w:rPr>
          <w:rtl/>
        </w:rPr>
      </w:pPr>
      <w:r w:rsidRPr="00421205">
        <w:rPr>
          <w:rFonts w:hint="cs"/>
          <w:rtl/>
        </w:rPr>
        <w:t>הפסוק</w:t>
      </w:r>
      <w:r w:rsidR="00C87D39" w:rsidRPr="00421205">
        <w:rPr>
          <w:rFonts w:hint="cs"/>
          <w:rtl/>
        </w:rPr>
        <w:t xml:space="preserve"> "וחי בהם" לא נאמ</w:t>
      </w:r>
      <w:r w:rsidR="00C87D39">
        <w:rPr>
          <w:rFonts w:hint="cs"/>
          <w:rtl/>
        </w:rPr>
        <w:t xml:space="preserve">ר לגבי </w:t>
      </w:r>
      <w:r w:rsidR="00C87D39" w:rsidRPr="00421205">
        <w:rPr>
          <w:rFonts w:hint="cs"/>
          <w:rtl/>
        </w:rPr>
        <w:t>"לא תרצח</w:t>
      </w:r>
      <w:r w:rsidR="00EE0D32">
        <w:rPr>
          <w:rFonts w:hint="cs"/>
          <w:rtl/>
        </w:rPr>
        <w:t>".</w:t>
      </w:r>
      <w:r w:rsidR="003A375A">
        <w:rPr>
          <w:rFonts w:hint="cs"/>
          <w:rtl/>
        </w:rPr>
        <w:t xml:space="preserve"> </w:t>
      </w:r>
      <w:r w:rsidR="00C87D39">
        <w:rPr>
          <w:rFonts w:hint="cs"/>
          <w:rtl/>
        </w:rPr>
        <w:t xml:space="preserve">לכן </w:t>
      </w:r>
      <w:r w:rsidR="009154CE">
        <w:rPr>
          <w:rFonts w:hint="cs"/>
          <w:rtl/>
        </w:rPr>
        <w:t xml:space="preserve">אם </w:t>
      </w:r>
      <w:r w:rsidR="00C87D39">
        <w:rPr>
          <w:rFonts w:hint="cs"/>
          <w:rtl/>
        </w:rPr>
        <w:t xml:space="preserve">אדם גורם לרצח, </w:t>
      </w:r>
      <w:r w:rsidR="00C87D39" w:rsidRPr="00F41B3F">
        <w:rPr>
          <w:rStyle w:val="af6"/>
          <w:rFonts w:hint="cs"/>
          <w:rtl/>
        </w:rPr>
        <w:t>אין שום ציווי לחיות</w:t>
      </w:r>
      <w:r w:rsidR="00C87D39">
        <w:rPr>
          <w:rFonts w:hint="cs"/>
          <w:rtl/>
        </w:rPr>
        <w:t xml:space="preserve"> והוא צריך למות </w:t>
      </w:r>
      <w:r w:rsidR="00875617">
        <w:rPr>
          <w:rFonts w:hint="cs"/>
          <w:rtl/>
        </w:rPr>
        <w:t>במקום</w:t>
      </w:r>
      <w:r w:rsidR="004B2AA4">
        <w:rPr>
          <w:rFonts w:hint="cs"/>
          <w:rtl/>
        </w:rPr>
        <w:t xml:space="preserve"> זאת</w:t>
      </w:r>
      <w:r w:rsidR="003A375A">
        <w:rPr>
          <w:rFonts w:hint="cs"/>
          <w:rtl/>
        </w:rPr>
        <w:t xml:space="preserve"> </w:t>
      </w:r>
      <w:r w:rsidR="000D4B34">
        <w:rPr>
          <w:rFonts w:hint="cs"/>
          <w:rtl/>
        </w:rPr>
        <w:t>(</w:t>
      </w:r>
      <w:r w:rsidR="003A375A">
        <w:rPr>
          <w:rFonts w:hint="cs"/>
          <w:rtl/>
        </w:rPr>
        <w:t>אין חילוק בין מעשה בידיים לבין "שב ואל תעשה"</w:t>
      </w:r>
      <w:r w:rsidR="000D4B34">
        <w:rPr>
          <w:rFonts w:hint="cs"/>
          <w:rtl/>
        </w:rPr>
        <w:t>)</w:t>
      </w:r>
      <w:r w:rsidR="003A375A">
        <w:rPr>
          <w:rFonts w:hint="cs"/>
          <w:rtl/>
        </w:rPr>
        <w:t>.</w:t>
      </w:r>
    </w:p>
    <w:p w14:paraId="72F18992" w14:textId="77777777" w:rsidR="00532B42" w:rsidRDefault="00532B42" w:rsidP="00532B42">
      <w:pPr>
        <w:rPr>
          <w:rtl/>
        </w:rPr>
      </w:pPr>
    </w:p>
    <w:p w14:paraId="5C512032" w14:textId="58AB3E81" w:rsidR="00C87D39" w:rsidRDefault="00C87D39" w:rsidP="00C87D39">
      <w:pPr>
        <w:rPr>
          <w:rtl/>
        </w:rPr>
      </w:pPr>
      <w:r w:rsidRPr="00215987">
        <w:rPr>
          <w:rFonts w:hint="cs"/>
          <w:u w:val="single"/>
          <w:rtl/>
        </w:rPr>
        <w:t>תלמידי רבינו יונה</w:t>
      </w:r>
      <w:r w:rsidRPr="00215987">
        <w:rPr>
          <w:rStyle w:val="ab"/>
          <w:u w:val="single"/>
          <w:rtl/>
        </w:rPr>
        <w:footnoteReference w:id="10"/>
      </w:r>
      <w:r w:rsidRPr="00215987">
        <w:rPr>
          <w:rFonts w:hint="cs"/>
          <w:u w:val="single"/>
          <w:rtl/>
        </w:rPr>
        <w:t>:</w:t>
      </w:r>
      <w:r>
        <w:rPr>
          <w:rFonts w:hint="cs"/>
          <w:rtl/>
        </w:rPr>
        <w:t xml:space="preserve"> </w:t>
      </w:r>
      <w:r w:rsidRPr="009A54E5">
        <w:rPr>
          <w:rStyle w:val="af6"/>
          <w:rFonts w:hint="cs"/>
          <w:rtl/>
        </w:rPr>
        <w:t>הפירוש הראשון</w:t>
      </w:r>
      <w:r>
        <w:rPr>
          <w:rFonts w:hint="cs"/>
          <w:rtl/>
        </w:rPr>
        <w:t xml:space="preserve"> </w:t>
      </w:r>
      <w:r>
        <w:rPr>
          <w:rtl/>
        </w:rPr>
        <w:t>–</w:t>
      </w:r>
      <w:r>
        <w:rPr>
          <w:rFonts w:hint="cs"/>
          <w:rtl/>
        </w:rPr>
        <w:t xml:space="preserve"> </w:t>
      </w:r>
      <w:r w:rsidR="00AE22B3">
        <w:rPr>
          <w:rFonts w:hint="cs"/>
          <w:rtl/>
        </w:rPr>
        <w:t>יכול להיות שהאדם שאמרו לו להרוג יחיה יותר ויקיים יותר מצוות, לכן</w:t>
      </w:r>
      <w:r>
        <w:rPr>
          <w:rFonts w:hint="cs"/>
          <w:rtl/>
        </w:rPr>
        <w:t xml:space="preserve"> אסור לו לעשות מעשה ("שב ואל תעשה")</w:t>
      </w:r>
      <w:r w:rsidR="00BE2B17">
        <w:rPr>
          <w:rFonts w:hint="cs"/>
          <w:rtl/>
        </w:rPr>
        <w:t>.</w:t>
      </w:r>
    </w:p>
    <w:p w14:paraId="46C1FD7F" w14:textId="1B26DB76" w:rsidR="000735FC" w:rsidRDefault="00C87D39" w:rsidP="00C87D39">
      <w:pPr>
        <w:rPr>
          <w:rtl/>
        </w:rPr>
      </w:pPr>
      <w:r w:rsidRPr="009A54E5">
        <w:rPr>
          <w:rStyle w:val="af6"/>
          <w:rFonts w:hint="cs"/>
          <w:rtl/>
        </w:rPr>
        <w:t>פירוש שני</w:t>
      </w:r>
      <w:r>
        <w:rPr>
          <w:rFonts w:hint="cs"/>
          <w:rtl/>
        </w:rPr>
        <w:t xml:space="preserve"> </w:t>
      </w:r>
      <w:r w:rsidR="00195CAC">
        <w:rPr>
          <w:rtl/>
        </w:rPr>
        <w:t>–</w:t>
      </w:r>
      <w:r>
        <w:rPr>
          <w:rFonts w:hint="cs"/>
          <w:rtl/>
        </w:rPr>
        <w:t xml:space="preserve"> </w:t>
      </w:r>
      <w:r w:rsidR="00195CAC">
        <w:rPr>
          <w:rFonts w:hint="cs"/>
          <w:rtl/>
        </w:rPr>
        <w:t>אסור לו להרוג כלל</w:t>
      </w:r>
      <w:r w:rsidR="000735FC">
        <w:rPr>
          <w:rFonts w:hint="cs"/>
          <w:rtl/>
        </w:rPr>
        <w:t>.</w:t>
      </w:r>
    </w:p>
    <w:p w14:paraId="726BCFA8" w14:textId="1B13F5C3" w:rsidR="00C87D39" w:rsidRDefault="00195CAC" w:rsidP="00C87D39">
      <w:pPr>
        <w:rPr>
          <w:rtl/>
        </w:rPr>
      </w:pPr>
      <w:r>
        <w:rPr>
          <w:rFonts w:hint="cs"/>
          <w:rtl/>
        </w:rPr>
        <w:t>מבחינה בסיסית, על כל המצוות אדם צריך להיהרג ולא לעבור</w:t>
      </w:r>
      <w:r w:rsidR="003B180A">
        <w:rPr>
          <w:rFonts w:hint="cs"/>
          <w:rtl/>
        </w:rPr>
        <w:t xml:space="preserve"> (</w:t>
      </w:r>
      <w:r w:rsidR="003B180A">
        <w:rPr>
          <w:rStyle w:val="ac"/>
          <w:rFonts w:hint="cs"/>
          <w:rtl/>
        </w:rPr>
        <w:t>"ואהבת את ה' אלקיך"</w:t>
      </w:r>
      <w:r w:rsidR="003B180A">
        <w:rPr>
          <w:rFonts w:hint="cs"/>
          <w:rtl/>
        </w:rPr>
        <w:t>)</w:t>
      </w:r>
      <w:r>
        <w:rPr>
          <w:rFonts w:hint="cs"/>
          <w:rtl/>
        </w:rPr>
        <w:t>.</w:t>
      </w:r>
    </w:p>
    <w:p w14:paraId="37B0C54A" w14:textId="65F62E95" w:rsidR="00195CAC" w:rsidRDefault="00195CAC" w:rsidP="00C87D39">
      <w:pPr>
        <w:rPr>
          <w:rtl/>
        </w:rPr>
      </w:pPr>
      <w:r>
        <w:rPr>
          <w:rFonts w:hint="cs"/>
          <w:rtl/>
        </w:rPr>
        <w:t xml:space="preserve">אבל יש את ההיתר </w:t>
      </w:r>
      <w:r w:rsidRPr="00E32957">
        <w:rPr>
          <w:rFonts w:hint="cs"/>
          <w:rtl/>
        </w:rPr>
        <w:t xml:space="preserve">של "וחי בהם", </w:t>
      </w:r>
      <w:r w:rsidRPr="0042544C">
        <w:rPr>
          <w:rStyle w:val="af6"/>
          <w:rFonts w:hint="cs"/>
          <w:rtl/>
        </w:rPr>
        <w:t>ופה אין את ההיתר של "וחי בהם"</w:t>
      </w:r>
      <w:r w:rsidRPr="00E32957">
        <w:rPr>
          <w:rFonts w:hint="cs"/>
          <w:rtl/>
        </w:rPr>
        <w:t xml:space="preserve"> ולכן</w:t>
      </w:r>
      <w:r>
        <w:rPr>
          <w:rFonts w:hint="cs"/>
          <w:rtl/>
        </w:rPr>
        <w:t xml:space="preserve"> נחזור להנחת היסוד, שאדם צריך להיהרג ולא לעבור, גם במקרה שהוא יושב ולא עושה כלום הוא צריך למסור את נפשו כדי לא להרוג.</w:t>
      </w:r>
    </w:p>
    <w:p w14:paraId="3065EBB0" w14:textId="7B953B7D" w:rsidR="00195CAC" w:rsidRDefault="00195CAC" w:rsidP="00C87D39">
      <w:pPr>
        <w:rPr>
          <w:rtl/>
        </w:rPr>
      </w:pPr>
      <w:r>
        <w:rPr>
          <w:rFonts w:hint="cs"/>
          <w:rtl/>
        </w:rPr>
        <w:t>לכן, לפי זה, אדם צריך מלכתחילה למסור את נפשו</w:t>
      </w:r>
      <w:r w:rsidR="00F562BF">
        <w:rPr>
          <w:rFonts w:hint="cs"/>
          <w:rtl/>
        </w:rPr>
        <w:t>,</w:t>
      </w:r>
      <w:r>
        <w:rPr>
          <w:rFonts w:hint="cs"/>
          <w:rtl/>
        </w:rPr>
        <w:t xml:space="preserve"> </w:t>
      </w:r>
      <w:r w:rsidR="00671155">
        <w:rPr>
          <w:rFonts w:hint="cs"/>
          <w:rtl/>
        </w:rPr>
        <w:t>פשוט</w:t>
      </w:r>
      <w:r w:rsidR="009C7FD5">
        <w:rPr>
          <w:rFonts w:hint="cs"/>
          <w:rtl/>
        </w:rPr>
        <w:t xml:space="preserve"> יש</w:t>
      </w:r>
      <w:r>
        <w:rPr>
          <w:rFonts w:hint="cs"/>
          <w:rtl/>
        </w:rPr>
        <w:t xml:space="preserve"> לו היתר לחיות. ראשונים אחרים יגידו שאדם מצווה לחיות, אבל איפה שהוא עושה מעשה בידיים הוא צריך למסור את נפשו.</w:t>
      </w:r>
    </w:p>
    <w:p w14:paraId="40E7A95D" w14:textId="77777777" w:rsidR="00764758" w:rsidRDefault="00764758" w:rsidP="00C87D39">
      <w:pPr>
        <w:rPr>
          <w:rtl/>
        </w:rPr>
      </w:pPr>
    </w:p>
    <w:p w14:paraId="3810FC8E" w14:textId="587C51CF" w:rsidR="004D43BF" w:rsidRDefault="004D43BF" w:rsidP="00C87D39">
      <w:pPr>
        <w:rPr>
          <w:rtl/>
        </w:rPr>
      </w:pPr>
      <w:r w:rsidRPr="00C50466">
        <w:rPr>
          <w:rFonts w:hint="cs"/>
          <w:u w:val="single"/>
          <w:rtl/>
        </w:rPr>
        <w:t>רמב"ם</w:t>
      </w:r>
      <w:r w:rsidRPr="00C50466">
        <w:rPr>
          <w:rStyle w:val="ab"/>
          <w:u w:val="single"/>
          <w:rtl/>
        </w:rPr>
        <w:footnoteReference w:id="11"/>
      </w:r>
      <w:r w:rsidRPr="00C50466">
        <w:rPr>
          <w:rFonts w:hint="cs"/>
          <w:u w:val="single"/>
          <w:rtl/>
        </w:rPr>
        <w:t>:</w:t>
      </w:r>
      <w:r>
        <w:rPr>
          <w:rFonts w:hint="cs"/>
          <w:rtl/>
        </w:rPr>
        <w:t xml:space="preserve"> </w:t>
      </w:r>
      <w:r w:rsidRPr="005354AD">
        <w:rPr>
          <w:rStyle w:val="ac"/>
          <w:rFonts w:hint="cs"/>
          <w:rtl/>
        </w:rPr>
        <w:t xml:space="preserve">"כל מי שנאמר בו יעבור ואל יהרג ונהרג ולא עבר הרי זה </w:t>
      </w:r>
      <w:r w:rsidRPr="0046470E">
        <w:rPr>
          <w:rStyle w:val="ac"/>
          <w:rFonts w:hint="cs"/>
          <w:b/>
          <w:bCs/>
          <w:rtl/>
        </w:rPr>
        <w:t>מתחייב בנפשו</w:t>
      </w:r>
      <w:r w:rsidRPr="005354AD">
        <w:rPr>
          <w:rStyle w:val="ac"/>
          <w:rFonts w:hint="cs"/>
          <w:rtl/>
        </w:rPr>
        <w:t>".</w:t>
      </w:r>
    </w:p>
    <w:p w14:paraId="345B56D4" w14:textId="593D7609" w:rsidR="004D43BF" w:rsidRDefault="004D43BF" w:rsidP="00C87D39">
      <w:pPr>
        <w:rPr>
          <w:rtl/>
        </w:rPr>
      </w:pPr>
      <w:r w:rsidRPr="00C50466">
        <w:rPr>
          <w:rFonts w:hint="cs"/>
          <w:u w:val="single"/>
          <w:rtl/>
        </w:rPr>
        <w:t>כסף משנה</w:t>
      </w:r>
      <w:r w:rsidRPr="00C50466">
        <w:rPr>
          <w:rStyle w:val="ab"/>
          <w:u w:val="single"/>
          <w:rtl/>
        </w:rPr>
        <w:footnoteReference w:id="12"/>
      </w:r>
      <w:r w:rsidRPr="00C50466">
        <w:rPr>
          <w:rFonts w:hint="cs"/>
          <w:u w:val="single"/>
          <w:rtl/>
        </w:rPr>
        <w:t>:</w:t>
      </w:r>
      <w:r>
        <w:rPr>
          <w:rFonts w:hint="cs"/>
          <w:rtl/>
        </w:rPr>
        <w:t xml:space="preserve"> ראשונים רבים סוברים שאם אדם נהרג ולא עבר, </w:t>
      </w:r>
      <w:r w:rsidRPr="00921DC4">
        <w:rPr>
          <w:rStyle w:val="ac"/>
          <w:rFonts w:hint="cs"/>
          <w:rtl/>
        </w:rPr>
        <w:t>"צדקה תחשב לו"</w:t>
      </w:r>
      <w:r>
        <w:rPr>
          <w:rFonts w:hint="cs"/>
          <w:rtl/>
        </w:rPr>
        <w:t>. יש לו רשות לעבור כדי שלא ייהרג. בנימוקי יוסף</w:t>
      </w:r>
      <w:r w:rsidR="004B669F">
        <w:rPr>
          <w:rStyle w:val="ab"/>
          <w:rtl/>
        </w:rPr>
        <w:footnoteReference w:id="13"/>
      </w:r>
      <w:r>
        <w:rPr>
          <w:rFonts w:hint="cs"/>
          <w:rtl/>
        </w:rPr>
        <w:t xml:space="preserve"> כתוב</w:t>
      </w:r>
      <w:r w:rsidR="002B318E">
        <w:rPr>
          <w:rFonts w:hint="cs"/>
          <w:rtl/>
        </w:rPr>
        <w:t>:</w:t>
      </w:r>
      <w:r w:rsidR="0085741E">
        <w:rPr>
          <w:rFonts w:hint="cs"/>
          <w:rtl/>
        </w:rPr>
        <w:t xml:space="preserve"> </w:t>
      </w:r>
      <w:r w:rsidR="00AE081E">
        <w:rPr>
          <w:rStyle w:val="ac"/>
          <w:rFonts w:hint="cs"/>
          <w:rtl/>
        </w:rPr>
        <w:t>"</w:t>
      </w:r>
      <w:r w:rsidRPr="002B318E">
        <w:rPr>
          <w:rStyle w:val="ac"/>
          <w:rFonts w:hint="cs"/>
          <w:rtl/>
        </w:rPr>
        <w:t>אדם</w:t>
      </w:r>
      <w:r w:rsidR="0074559C" w:rsidRPr="002B318E">
        <w:rPr>
          <w:rStyle w:val="ac"/>
          <w:rFonts w:hint="cs"/>
          <w:rtl/>
        </w:rPr>
        <w:t xml:space="preserve"> חסיד וירא שמים, ורואה שהדור פרוץ בכך,</w:t>
      </w:r>
      <w:r w:rsidRPr="002B318E">
        <w:rPr>
          <w:rStyle w:val="ac"/>
          <w:rFonts w:hint="cs"/>
          <w:rtl/>
        </w:rPr>
        <w:t xml:space="preserve"> רשאי לקדש את השם ולמסור את נפשו אפילו על מצווה קלה</w:t>
      </w:r>
      <w:r w:rsidR="00082966" w:rsidRPr="002B318E">
        <w:rPr>
          <w:rStyle w:val="ac"/>
          <w:rFonts w:hint="cs"/>
          <w:rtl/>
        </w:rPr>
        <w:t xml:space="preserve">, כדי </w:t>
      </w:r>
      <w:r w:rsidR="00AE081E">
        <w:rPr>
          <w:rStyle w:val="ac"/>
          <w:rFonts w:hint="cs"/>
          <w:rtl/>
        </w:rPr>
        <w:t xml:space="preserve">שיראו </w:t>
      </w:r>
      <w:r w:rsidR="00082966" w:rsidRPr="002B318E">
        <w:rPr>
          <w:rStyle w:val="ac"/>
          <w:rFonts w:hint="cs"/>
          <w:rtl/>
        </w:rPr>
        <w:t>העם וילמדו</w:t>
      </w:r>
      <w:r w:rsidR="00AE081E">
        <w:rPr>
          <w:rStyle w:val="ac"/>
          <w:rFonts w:hint="cs"/>
          <w:rtl/>
        </w:rPr>
        <w:t>"</w:t>
      </w:r>
      <w:r>
        <w:rPr>
          <w:rFonts w:hint="cs"/>
          <w:rtl/>
        </w:rPr>
        <w:t>.</w:t>
      </w:r>
      <w:r w:rsidR="00F254A3">
        <w:rPr>
          <w:rFonts w:hint="cs"/>
          <w:rtl/>
        </w:rPr>
        <w:t xml:space="preserve"> </w:t>
      </w:r>
      <w:r w:rsidR="00765E62">
        <w:rPr>
          <w:rFonts w:hint="cs"/>
          <w:rtl/>
        </w:rPr>
        <w:t>ואפילו לפי הרמב"ם, ש</w:t>
      </w:r>
      <w:r w:rsidR="00E40753">
        <w:rPr>
          <w:rFonts w:hint="cs"/>
          <w:rtl/>
        </w:rPr>
        <w:t>סבר ש</w:t>
      </w:r>
      <w:r w:rsidR="00765E62">
        <w:rPr>
          <w:rFonts w:hint="cs"/>
          <w:rtl/>
        </w:rPr>
        <w:t>חייב אדם לעבור ולא להיהרג</w:t>
      </w:r>
      <w:r w:rsidR="009E200F">
        <w:rPr>
          <w:rFonts w:hint="cs"/>
          <w:rtl/>
        </w:rPr>
        <w:t xml:space="preserve"> כאשר לא</w:t>
      </w:r>
      <w:r w:rsidR="00333135">
        <w:rPr>
          <w:rFonts w:hint="cs"/>
          <w:rtl/>
        </w:rPr>
        <w:t xml:space="preserve"> חייב להיהרג</w:t>
      </w:r>
      <w:r w:rsidR="00765E62">
        <w:rPr>
          <w:rFonts w:hint="cs"/>
          <w:rtl/>
        </w:rPr>
        <w:t>, הוא מסכים עם הנמוק"י במקרה כזה.</w:t>
      </w:r>
    </w:p>
    <w:p w14:paraId="6D35E7C5" w14:textId="48096C1F" w:rsidR="004D43BF" w:rsidRDefault="004D43BF" w:rsidP="00C87D39">
      <w:pPr>
        <w:rPr>
          <w:rtl/>
        </w:rPr>
      </w:pPr>
    </w:p>
    <w:p w14:paraId="23F741AA" w14:textId="5969317E" w:rsidR="004D43BF" w:rsidRDefault="004D43BF" w:rsidP="00C87D39">
      <w:pPr>
        <w:rPr>
          <w:rtl/>
        </w:rPr>
      </w:pPr>
      <w:r w:rsidRPr="00A9470E">
        <w:rPr>
          <w:rFonts w:hint="cs"/>
          <w:u w:val="single"/>
          <w:rtl/>
        </w:rPr>
        <w:t>הר"ן</w:t>
      </w:r>
      <w:r w:rsidR="00AB7A82" w:rsidRPr="00A9470E">
        <w:rPr>
          <w:rStyle w:val="ab"/>
          <w:u w:val="single"/>
          <w:rtl/>
        </w:rPr>
        <w:footnoteReference w:id="14"/>
      </w:r>
      <w:r w:rsidRPr="00A9470E">
        <w:rPr>
          <w:rFonts w:hint="cs"/>
          <w:u w:val="single"/>
          <w:rtl/>
        </w:rPr>
        <w:t>:</w:t>
      </w:r>
      <w:r>
        <w:rPr>
          <w:rFonts w:hint="cs"/>
          <w:rtl/>
        </w:rPr>
        <w:t xml:space="preserve"> </w:t>
      </w:r>
      <w:r w:rsidR="009B5D3C">
        <w:rPr>
          <w:rFonts w:hint="cs"/>
          <w:rtl/>
        </w:rPr>
        <w:t>בסיפור על "אלישע בעל כנפיים"</w:t>
      </w:r>
      <w:r w:rsidR="00F079B1">
        <w:rPr>
          <w:rStyle w:val="ab"/>
          <w:rtl/>
        </w:rPr>
        <w:footnoteReference w:id="15"/>
      </w:r>
      <w:r w:rsidR="009B5D3C">
        <w:rPr>
          <w:rFonts w:hint="cs"/>
          <w:rtl/>
        </w:rPr>
        <w:t xml:space="preserve">, </w:t>
      </w:r>
      <w:r>
        <w:rPr>
          <w:rFonts w:hint="cs"/>
          <w:rtl/>
        </w:rPr>
        <w:t xml:space="preserve">למה </w:t>
      </w:r>
      <w:r w:rsidR="00071087">
        <w:rPr>
          <w:rFonts w:hint="cs"/>
          <w:rtl/>
        </w:rPr>
        <w:t xml:space="preserve">הוא </w:t>
      </w:r>
      <w:r>
        <w:rPr>
          <w:rFonts w:hint="cs"/>
          <w:rtl/>
        </w:rPr>
        <w:t>הוריד את התפילי</w:t>
      </w:r>
      <w:r w:rsidR="005F41CD">
        <w:rPr>
          <w:rFonts w:hint="cs"/>
          <w:rtl/>
        </w:rPr>
        <w:t>ן</w:t>
      </w:r>
      <w:r>
        <w:rPr>
          <w:rFonts w:hint="cs"/>
          <w:rtl/>
        </w:rPr>
        <w:t>? הרי בשעת הגזירה אפילו במצווה קטנה אדם צריך להיהרג ולא לעבור!</w:t>
      </w:r>
    </w:p>
    <w:p w14:paraId="2BD17434" w14:textId="22004E62" w:rsidR="00203E8B" w:rsidRDefault="00D02AE6" w:rsidP="00C87D39">
      <w:pPr>
        <w:rPr>
          <w:rtl/>
        </w:rPr>
      </w:pPr>
      <w:r>
        <w:rPr>
          <w:rFonts w:hint="cs"/>
          <w:rtl/>
        </w:rPr>
        <w:t xml:space="preserve">תשובה: </w:t>
      </w:r>
      <w:r w:rsidR="004D43BF" w:rsidRPr="00BE335D">
        <w:rPr>
          <w:rStyle w:val="af6"/>
          <w:rFonts w:hint="cs"/>
          <w:rtl/>
        </w:rPr>
        <w:t>יש חילוק בין מצוות עשה למצוות לא תעשה</w:t>
      </w:r>
      <w:r w:rsidR="004D43BF">
        <w:rPr>
          <w:rFonts w:hint="cs"/>
          <w:rtl/>
        </w:rPr>
        <w:t xml:space="preserve">. </w:t>
      </w:r>
      <w:r w:rsidR="00C7150D">
        <w:rPr>
          <w:rFonts w:hint="cs"/>
          <w:rtl/>
        </w:rPr>
        <w:t xml:space="preserve">אם גזרו על אדם לעבור על מצוות לא תעשה </w:t>
      </w:r>
      <w:r w:rsidR="004E6F3A">
        <w:rPr>
          <w:rFonts w:hint="cs"/>
          <w:rtl/>
        </w:rPr>
        <w:t>(</w:t>
      </w:r>
      <w:r w:rsidR="00C7150D">
        <w:rPr>
          <w:rFonts w:hint="cs"/>
          <w:rtl/>
        </w:rPr>
        <w:t>אפילו מצווה קטנה בשעת גזירה</w:t>
      </w:r>
      <w:r w:rsidR="004E6F3A">
        <w:rPr>
          <w:rFonts w:hint="cs"/>
          <w:rtl/>
        </w:rPr>
        <w:t>)</w:t>
      </w:r>
      <w:r w:rsidR="00C7150D">
        <w:rPr>
          <w:rFonts w:hint="cs"/>
          <w:rtl/>
        </w:rPr>
        <w:t xml:space="preserve">, </w:t>
      </w:r>
      <w:r w:rsidR="00D554E1">
        <w:rPr>
          <w:rFonts w:hint="cs"/>
          <w:rtl/>
        </w:rPr>
        <w:t>ייהרג ואל יעבור אבל אם אמרו לו לבטל מצוות עשה יכול לבטלה, כי הוא לא עובר על מצווה בידיים וגם כי הם יכולים לבטלה ממנו ע"י אסירתו בבית האסורים.</w:t>
      </w:r>
    </w:p>
    <w:p w14:paraId="360B6BF9" w14:textId="06C970F4" w:rsidR="004D43BF" w:rsidRDefault="00AF256D" w:rsidP="00C87D39">
      <w:pPr>
        <w:rPr>
          <w:rtl/>
        </w:rPr>
      </w:pPr>
      <w:r>
        <w:rPr>
          <w:rFonts w:hint="cs"/>
          <w:rtl/>
        </w:rPr>
        <w:lastRenderedPageBreak/>
        <w:t xml:space="preserve">אם כן, </w:t>
      </w:r>
      <w:r w:rsidR="004D43BF">
        <w:rPr>
          <w:rFonts w:hint="cs"/>
          <w:rtl/>
        </w:rPr>
        <w:t xml:space="preserve">למה אלישע הניח תפילין </w:t>
      </w:r>
      <w:r w:rsidR="005741BC">
        <w:rPr>
          <w:rFonts w:hint="cs"/>
          <w:rtl/>
        </w:rPr>
        <w:t xml:space="preserve">מלכתחילה </w:t>
      </w:r>
      <w:r w:rsidR="004D43BF">
        <w:rPr>
          <w:rFonts w:hint="cs"/>
          <w:rtl/>
        </w:rPr>
        <w:t xml:space="preserve">אם </w:t>
      </w:r>
      <w:r w:rsidR="00633BDF">
        <w:rPr>
          <w:rFonts w:hint="cs"/>
          <w:rtl/>
        </w:rPr>
        <w:t xml:space="preserve">על </w:t>
      </w:r>
      <w:r w:rsidR="004D43BF">
        <w:rPr>
          <w:rFonts w:hint="cs"/>
          <w:rtl/>
        </w:rPr>
        <w:t>מצוות עשה לא צריך למסור את הנפש?</w:t>
      </w:r>
    </w:p>
    <w:p w14:paraId="729D48F9" w14:textId="03263312" w:rsidR="005512A6" w:rsidRDefault="00441558" w:rsidP="000D5C52">
      <w:pPr>
        <w:rPr>
          <w:rtl/>
        </w:rPr>
      </w:pPr>
      <w:r>
        <w:rPr>
          <w:rFonts w:hint="cs"/>
          <w:rtl/>
        </w:rPr>
        <w:t>התשובה היא ש</w:t>
      </w:r>
      <w:r w:rsidR="004D43BF">
        <w:rPr>
          <w:rFonts w:hint="cs"/>
          <w:rtl/>
        </w:rPr>
        <w:t>אע"פ שאינו חייב להיהרג על קיומה, רשאי למסור את נפשו.</w:t>
      </w:r>
    </w:p>
    <w:p w14:paraId="6D5B8689" w14:textId="77777777" w:rsidR="000D5C52" w:rsidRPr="005512A6" w:rsidRDefault="000D5C52" w:rsidP="000D5C52">
      <w:pPr>
        <w:rPr>
          <w:rtl/>
        </w:rPr>
      </w:pPr>
    </w:p>
    <w:p w14:paraId="7E0D5A8A" w14:textId="52964E96" w:rsidR="00922C96" w:rsidRDefault="0082212D" w:rsidP="00C87D39">
      <w:pPr>
        <w:rPr>
          <w:rtl/>
        </w:rPr>
      </w:pPr>
      <w:r w:rsidRPr="002F7517">
        <w:rPr>
          <w:rFonts w:hint="cs"/>
          <w:u w:val="single"/>
          <w:rtl/>
        </w:rPr>
        <w:t>לחם משנה</w:t>
      </w:r>
      <w:r w:rsidR="00AB7A82" w:rsidRPr="002F7517">
        <w:rPr>
          <w:rStyle w:val="ab"/>
          <w:u w:val="single"/>
          <w:rtl/>
        </w:rPr>
        <w:footnoteReference w:id="16"/>
      </w:r>
      <w:r w:rsidRPr="002F7517">
        <w:rPr>
          <w:rFonts w:hint="cs"/>
          <w:u w:val="single"/>
          <w:rtl/>
        </w:rPr>
        <w:t>:</w:t>
      </w:r>
      <w:r w:rsidR="008D4EC3">
        <w:rPr>
          <w:rFonts w:hint="cs"/>
          <w:rtl/>
        </w:rPr>
        <w:t xml:space="preserve"> </w:t>
      </w:r>
    </w:p>
    <w:p w14:paraId="1E057F00" w14:textId="0D9D52C5" w:rsidR="00F8696D" w:rsidRDefault="00922C96" w:rsidP="00F8696D">
      <w:pPr>
        <w:rPr>
          <w:rtl/>
        </w:rPr>
      </w:pPr>
      <w:r>
        <w:rPr>
          <w:rFonts w:hint="cs"/>
          <w:rtl/>
        </w:rPr>
        <w:t xml:space="preserve">הרמב"ם אמר שבמקום שאדם מחליט למות על קידוש ה' כאשר הוא לא מצווה על כך </w:t>
      </w:r>
      <w:r>
        <w:rPr>
          <w:rtl/>
        </w:rPr>
        <w:t>–</w:t>
      </w:r>
      <w:r>
        <w:rPr>
          <w:rFonts w:hint="cs"/>
          <w:rtl/>
        </w:rPr>
        <w:t xml:space="preserve"> הוא מתחייב בנפשו.</w:t>
      </w:r>
    </w:p>
    <w:p w14:paraId="32189818" w14:textId="22DE420F" w:rsidR="003B0106" w:rsidRDefault="0082212D" w:rsidP="00C87D39">
      <w:pPr>
        <w:rPr>
          <w:rtl/>
        </w:rPr>
      </w:pPr>
      <w:r>
        <w:rPr>
          <w:rFonts w:hint="cs"/>
          <w:rtl/>
        </w:rPr>
        <w:t xml:space="preserve">לר"ן יש הנחת יסוד שהרמב"ם לא מסכים איתה </w:t>
      </w:r>
      <w:r>
        <w:rPr>
          <w:rtl/>
        </w:rPr>
        <w:t>–</w:t>
      </w:r>
      <w:r>
        <w:rPr>
          <w:rFonts w:hint="cs"/>
          <w:rtl/>
        </w:rPr>
        <w:t xml:space="preserve"> בכל מקום שיכולים לבטל את </w:t>
      </w:r>
      <w:r w:rsidR="00543F50">
        <w:rPr>
          <w:rFonts w:hint="cs"/>
          <w:rtl/>
        </w:rPr>
        <w:t>המצווה מהאדם</w:t>
      </w:r>
      <w:r>
        <w:rPr>
          <w:rFonts w:hint="cs"/>
          <w:rtl/>
        </w:rPr>
        <w:t>,</w:t>
      </w:r>
      <w:r w:rsidR="005C502B">
        <w:rPr>
          <w:rFonts w:hint="cs"/>
          <w:rtl/>
        </w:rPr>
        <w:t xml:space="preserve"> </w:t>
      </w:r>
      <w:r w:rsidR="004E6F3A">
        <w:rPr>
          <w:rFonts w:hint="cs"/>
          <w:rtl/>
        </w:rPr>
        <w:t>(</w:t>
      </w:r>
      <w:r w:rsidR="005C502B">
        <w:rPr>
          <w:rFonts w:hint="cs"/>
          <w:rtl/>
        </w:rPr>
        <w:t>במצוות עשה</w:t>
      </w:r>
      <w:r w:rsidR="004E6F3A">
        <w:rPr>
          <w:rFonts w:hint="cs"/>
          <w:rtl/>
        </w:rPr>
        <w:t>)</w:t>
      </w:r>
      <w:r>
        <w:rPr>
          <w:rFonts w:hint="cs"/>
          <w:rtl/>
        </w:rPr>
        <w:t xml:space="preserve"> הוא לא צריך למסור את נפשו.</w:t>
      </w:r>
      <w:r w:rsidR="00686DC6">
        <w:rPr>
          <w:rFonts w:hint="cs"/>
          <w:rtl/>
        </w:rPr>
        <w:t xml:space="preserve"> </w:t>
      </w:r>
    </w:p>
    <w:p w14:paraId="60AFA10A" w14:textId="78FD8D09" w:rsidR="0082212D" w:rsidRDefault="00686DC6" w:rsidP="00C87D39">
      <w:pPr>
        <w:rPr>
          <w:rtl/>
        </w:rPr>
      </w:pPr>
      <w:r>
        <w:rPr>
          <w:rFonts w:hint="cs"/>
          <w:rtl/>
        </w:rPr>
        <w:t xml:space="preserve">אם כך, אז הרמב"ם סובר שאלישע היה </w:t>
      </w:r>
      <w:r w:rsidRPr="003B0106">
        <w:rPr>
          <w:rStyle w:val="af6"/>
          <w:rFonts w:hint="cs"/>
          <w:rtl/>
        </w:rPr>
        <w:t>חייב</w:t>
      </w:r>
      <w:r>
        <w:rPr>
          <w:rFonts w:hint="cs"/>
          <w:rtl/>
        </w:rPr>
        <w:t xml:space="preserve"> למסור את נפשו על כך ולא להוריד את התפילין.</w:t>
      </w:r>
    </w:p>
    <w:p w14:paraId="7616DEC1" w14:textId="666C928A" w:rsidR="00D46F39" w:rsidRDefault="00D46F39" w:rsidP="00C87D39">
      <w:pPr>
        <w:rPr>
          <w:rtl/>
        </w:rPr>
      </w:pPr>
    </w:p>
    <w:p w14:paraId="2589C3E0" w14:textId="2E7BAECE" w:rsidR="00B04BF2" w:rsidRDefault="00F57337" w:rsidP="00C87D39">
      <w:pPr>
        <w:rPr>
          <w:rStyle w:val="af6"/>
          <w:rtl/>
        </w:rPr>
      </w:pPr>
      <w:r>
        <w:rPr>
          <w:rStyle w:val="af6"/>
          <w:rFonts w:hint="cs"/>
          <w:rtl/>
        </w:rPr>
        <w:t xml:space="preserve">~ </w:t>
      </w:r>
      <w:r w:rsidR="00B04BF2">
        <w:rPr>
          <w:rStyle w:val="af6"/>
          <w:rFonts w:hint="cs"/>
          <w:rtl/>
        </w:rPr>
        <w:t>צריך שיפוץ</w:t>
      </w:r>
      <w:r w:rsidR="00492EF6">
        <w:rPr>
          <w:rStyle w:val="af6"/>
          <w:rFonts w:hint="cs"/>
          <w:rtl/>
        </w:rPr>
        <w:t xml:space="preserve"> מכאן והלאה</w:t>
      </w:r>
      <w:r>
        <w:rPr>
          <w:rStyle w:val="af6"/>
          <w:rFonts w:hint="cs"/>
          <w:rtl/>
        </w:rPr>
        <w:t xml:space="preserve"> ~</w:t>
      </w:r>
    </w:p>
    <w:p w14:paraId="150A55A1" w14:textId="77777777" w:rsidR="00F57337" w:rsidRDefault="00F57337" w:rsidP="00C87D39">
      <w:pPr>
        <w:rPr>
          <w:rFonts w:hint="cs"/>
          <w:u w:val="single"/>
          <w:rtl/>
        </w:rPr>
      </w:pPr>
    </w:p>
    <w:p w14:paraId="0290D913" w14:textId="77777777" w:rsidR="00F57337" w:rsidRDefault="00F57337" w:rsidP="00C87D39">
      <w:pPr>
        <w:rPr>
          <w:u w:val="single"/>
          <w:rtl/>
        </w:rPr>
      </w:pPr>
    </w:p>
    <w:p w14:paraId="6E3E9EDB" w14:textId="4883C7B2" w:rsidR="00D46F39" w:rsidRDefault="00D46F39" w:rsidP="00C87D39">
      <w:pPr>
        <w:rPr>
          <w:rtl/>
        </w:rPr>
      </w:pPr>
      <w:r w:rsidRPr="002F23DC">
        <w:rPr>
          <w:rFonts w:hint="cs"/>
          <w:u w:val="single"/>
          <w:rtl/>
        </w:rPr>
        <w:t>משפט כהן</w:t>
      </w:r>
      <w:r w:rsidR="00AB7A82" w:rsidRPr="002F23DC">
        <w:rPr>
          <w:rStyle w:val="ab"/>
          <w:u w:val="single"/>
          <w:rtl/>
        </w:rPr>
        <w:footnoteReference w:id="17"/>
      </w:r>
      <w:r w:rsidRPr="002F23DC">
        <w:rPr>
          <w:rFonts w:hint="cs"/>
          <w:u w:val="single"/>
          <w:rtl/>
        </w:rPr>
        <w:t>:</w:t>
      </w:r>
      <w:r>
        <w:rPr>
          <w:rFonts w:hint="cs"/>
          <w:rtl/>
        </w:rPr>
        <w:t xml:space="preserve"> לפי הנימוק"י לאדם צדיק מותר למסור את הנפש ולכן אלישע מסר את הנפש. לפי הרמב"ם הסיבה שהוא הניח תפילין זה כי הוא צריך למסור את הנפש.</w:t>
      </w:r>
    </w:p>
    <w:p w14:paraId="5A5D3522" w14:textId="77777777" w:rsidR="0034306C" w:rsidRPr="0034306C" w:rsidRDefault="0034306C" w:rsidP="0034306C">
      <w:pPr>
        <w:rPr>
          <w:rtl/>
        </w:rPr>
      </w:pPr>
    </w:p>
    <w:p w14:paraId="1490BEC8" w14:textId="1A3C0F1F" w:rsidR="00AB7A82" w:rsidRDefault="00AB7A82" w:rsidP="00C87D39">
      <w:pPr>
        <w:rPr>
          <w:rFonts w:hint="cs"/>
          <w:u w:val="single"/>
          <w:rtl/>
        </w:rPr>
      </w:pPr>
    </w:p>
    <w:p w14:paraId="796E641D" w14:textId="70840A6C" w:rsidR="00462E55" w:rsidRPr="00AB7A82" w:rsidRDefault="00AB7A82" w:rsidP="00C87D39">
      <w:pPr>
        <w:rPr>
          <w:u w:val="single"/>
          <w:rtl/>
        </w:rPr>
      </w:pPr>
      <w:r w:rsidRPr="00AB7A82">
        <w:rPr>
          <w:rFonts w:hint="cs"/>
          <w:u w:val="single"/>
          <w:rtl/>
        </w:rPr>
        <w:t>סיכום:</w:t>
      </w:r>
    </w:p>
    <w:p w14:paraId="696C6EB8" w14:textId="7FE081A0" w:rsidR="00AA78FC" w:rsidRPr="00912381" w:rsidRDefault="00462E55" w:rsidP="00AA78FC">
      <w:pPr>
        <w:rPr>
          <w:rtl/>
        </w:rPr>
      </w:pPr>
      <w:r>
        <w:rPr>
          <w:rFonts w:hint="cs"/>
          <w:rtl/>
        </w:rPr>
        <w:t xml:space="preserve">החילוק הוא האם "וחי בהם" הוא היתר </w:t>
      </w:r>
      <w:r w:rsidR="004E6F3A">
        <w:rPr>
          <w:rFonts w:hint="cs"/>
          <w:rtl/>
        </w:rPr>
        <w:t>(</w:t>
      </w:r>
      <w:r>
        <w:rPr>
          <w:rFonts w:hint="cs"/>
          <w:rtl/>
        </w:rPr>
        <w:t>הר"ן, כס"מ, נמוק"י</w:t>
      </w:r>
      <w:r w:rsidR="004E6F3A">
        <w:rPr>
          <w:rFonts w:hint="cs"/>
          <w:rtl/>
        </w:rPr>
        <w:t>)</w:t>
      </w:r>
      <w:r>
        <w:rPr>
          <w:rFonts w:hint="cs"/>
          <w:rtl/>
        </w:rPr>
        <w:t xml:space="preserve"> או ציווי </w:t>
      </w:r>
      <w:r w:rsidR="004E6F3A">
        <w:rPr>
          <w:rFonts w:hint="cs"/>
          <w:rtl/>
        </w:rPr>
        <w:t>(</w:t>
      </w:r>
      <w:r>
        <w:rPr>
          <w:rFonts w:hint="cs"/>
          <w:rtl/>
        </w:rPr>
        <w:t>רמב"ם</w:t>
      </w:r>
      <w:r w:rsidR="004E6F3A">
        <w:rPr>
          <w:rFonts w:hint="cs"/>
          <w:rtl/>
        </w:rPr>
        <w:t>)</w:t>
      </w:r>
      <w:r>
        <w:rPr>
          <w:rFonts w:hint="cs"/>
          <w:rtl/>
        </w:rPr>
        <w:t>. לפי הרמב"ם אדם צריך לחיות מלבד מקרים בודדים בהם התורה התירה למסור את הנפש, במקרים בהם התורה לא התירה אסור למסור את הנפש. לפי ראשונים אחרים, אם אדם רוצה למסור את נפשו מותר לו.</w:t>
      </w:r>
    </w:p>
    <w:sectPr w:rsidR="00AA78FC" w:rsidRPr="00912381" w:rsidSect="00C461A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A70D6" w14:textId="77777777" w:rsidR="003A00B0" w:rsidRDefault="003A00B0" w:rsidP="005A73BE">
      <w:r>
        <w:separator/>
      </w:r>
    </w:p>
  </w:endnote>
  <w:endnote w:type="continuationSeparator" w:id="0">
    <w:p w14:paraId="5DFE4B3F" w14:textId="77777777" w:rsidR="003A00B0" w:rsidRDefault="003A00B0" w:rsidP="005A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ebo">
    <w:panose1 w:val="00000500000000000000"/>
    <w:charset w:val="00"/>
    <w:family w:val="auto"/>
    <w:pitch w:val="variable"/>
    <w:sig w:usb0="00000803" w:usb1="40000001" w:usb2="00000000" w:usb3="00000000" w:csb0="00000021" w:csb1="00000000"/>
  </w:font>
  <w:font w:name="Secular One">
    <w:panose1 w:val="00000500000000000000"/>
    <w:charset w:val="00"/>
    <w:family w:val="auto"/>
    <w:pitch w:val="variable"/>
    <w:sig w:usb0="00000807" w:usb1="40000000" w:usb2="00000000" w:usb3="00000000" w:csb0="000000B3" w:csb1="00000000"/>
  </w:font>
  <w:font w:name="Heebo Medium">
    <w:panose1 w:val="00000600000000000000"/>
    <w:charset w:val="00"/>
    <w:family w:val="auto"/>
    <w:pitch w:val="variable"/>
    <w:sig w:usb0="00000803" w:usb1="40000001"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7147C" w14:textId="77777777" w:rsidR="003A00B0" w:rsidRDefault="003A00B0" w:rsidP="005A73BE">
      <w:r>
        <w:separator/>
      </w:r>
    </w:p>
  </w:footnote>
  <w:footnote w:type="continuationSeparator" w:id="0">
    <w:p w14:paraId="6D56A88C" w14:textId="77777777" w:rsidR="003A00B0" w:rsidRDefault="003A00B0" w:rsidP="005A73BE">
      <w:r>
        <w:continuationSeparator/>
      </w:r>
    </w:p>
  </w:footnote>
  <w:footnote w:id="1">
    <w:p w14:paraId="623EF3DA" w14:textId="517650D9" w:rsidR="00C87D39" w:rsidRDefault="00C87D39">
      <w:pPr>
        <w:pStyle w:val="a9"/>
        <w:rPr>
          <w:rtl/>
        </w:rPr>
      </w:pPr>
      <w:r>
        <w:rPr>
          <w:rStyle w:val="ab"/>
        </w:rPr>
        <w:footnoteRef/>
      </w:r>
      <w:r>
        <w:rPr>
          <w:rtl/>
        </w:rPr>
        <w:t xml:space="preserve"> </w:t>
      </w:r>
      <w:r>
        <w:rPr>
          <w:rFonts w:hint="cs"/>
          <w:rtl/>
        </w:rPr>
        <w:t>סנהדרין עד.</w:t>
      </w:r>
    </w:p>
  </w:footnote>
  <w:footnote w:id="2">
    <w:p w14:paraId="48FCD511" w14:textId="5D70AB6A" w:rsidR="003D6A71" w:rsidRDefault="003D6A71">
      <w:pPr>
        <w:pStyle w:val="a9"/>
        <w:rPr>
          <w:rtl/>
        </w:rPr>
      </w:pPr>
      <w:r>
        <w:rPr>
          <w:rStyle w:val="ab"/>
        </w:rPr>
        <w:footnoteRef/>
      </w:r>
      <w:r>
        <w:rPr>
          <w:rtl/>
        </w:rPr>
        <w:t xml:space="preserve"> </w:t>
      </w:r>
      <w:r>
        <w:rPr>
          <w:rFonts w:hint="cs"/>
          <w:rtl/>
        </w:rPr>
        <w:t>לפי רש"י שם</w:t>
      </w:r>
    </w:p>
  </w:footnote>
  <w:footnote w:id="3">
    <w:p w14:paraId="569DC3C1" w14:textId="77777777" w:rsidR="006D115E" w:rsidRDefault="006D115E" w:rsidP="006D115E">
      <w:pPr>
        <w:pStyle w:val="a9"/>
        <w:rPr>
          <w:rtl/>
        </w:rPr>
      </w:pPr>
      <w:r>
        <w:rPr>
          <w:rStyle w:val="ab"/>
        </w:rPr>
        <w:footnoteRef/>
      </w:r>
      <w:r>
        <w:rPr>
          <w:rtl/>
        </w:rPr>
        <w:t xml:space="preserve"> </w:t>
      </w:r>
      <w:r>
        <w:rPr>
          <w:rFonts w:hint="cs"/>
          <w:rtl/>
        </w:rPr>
        <w:t>אסתר ב', ח'</w:t>
      </w:r>
    </w:p>
  </w:footnote>
  <w:footnote w:id="4">
    <w:p w14:paraId="0EE274E0" w14:textId="69FA1DDD" w:rsidR="00BE1BE8" w:rsidRDefault="00BE1BE8">
      <w:pPr>
        <w:pStyle w:val="a9"/>
        <w:rPr>
          <w:rtl/>
        </w:rPr>
      </w:pPr>
      <w:r>
        <w:rPr>
          <w:rStyle w:val="ab"/>
        </w:rPr>
        <w:footnoteRef/>
      </w:r>
      <w:r>
        <w:rPr>
          <w:rtl/>
        </w:rPr>
        <w:t xml:space="preserve"> </w:t>
      </w:r>
      <w:r>
        <w:rPr>
          <w:rFonts w:hint="cs"/>
          <w:rtl/>
        </w:rPr>
        <w:t>עד:</w:t>
      </w:r>
    </w:p>
  </w:footnote>
  <w:footnote w:id="5">
    <w:p w14:paraId="3CF4FFE8" w14:textId="762D98BA" w:rsidR="00195CAC" w:rsidRDefault="00195CAC">
      <w:pPr>
        <w:pStyle w:val="a9"/>
        <w:rPr>
          <w:rtl/>
        </w:rPr>
      </w:pPr>
      <w:r>
        <w:rPr>
          <w:rStyle w:val="ab"/>
        </w:rPr>
        <w:footnoteRef/>
      </w:r>
      <w:r>
        <w:rPr>
          <w:rtl/>
        </w:rPr>
        <w:t xml:space="preserve"> </w:t>
      </w:r>
      <w:r w:rsidR="00C966FB">
        <w:rPr>
          <w:rFonts w:hint="cs"/>
          <w:rtl/>
        </w:rPr>
        <w:t>שם ד"ה והא</w:t>
      </w:r>
    </w:p>
  </w:footnote>
  <w:footnote w:id="6">
    <w:p w14:paraId="6530BC38" w14:textId="647A3008" w:rsidR="00C87D39" w:rsidRDefault="00C87D39">
      <w:pPr>
        <w:pStyle w:val="a9"/>
        <w:rPr>
          <w:rtl/>
        </w:rPr>
      </w:pPr>
      <w:r>
        <w:rPr>
          <w:rStyle w:val="ab"/>
        </w:rPr>
        <w:footnoteRef/>
      </w:r>
      <w:r>
        <w:rPr>
          <w:rtl/>
        </w:rPr>
        <w:t xml:space="preserve"> </w:t>
      </w:r>
      <w:r>
        <w:rPr>
          <w:rFonts w:hint="cs"/>
          <w:rtl/>
        </w:rPr>
        <w:t>הל' יסודי התורה ה', א'</w:t>
      </w:r>
    </w:p>
  </w:footnote>
  <w:footnote w:id="7">
    <w:p w14:paraId="62F43C4E" w14:textId="5D637C50" w:rsidR="00C87D39" w:rsidRDefault="00C87D39">
      <w:pPr>
        <w:pStyle w:val="a9"/>
      </w:pPr>
      <w:r>
        <w:rPr>
          <w:rStyle w:val="ab"/>
        </w:rPr>
        <w:footnoteRef/>
      </w:r>
      <w:r>
        <w:rPr>
          <w:rtl/>
        </w:rPr>
        <w:t xml:space="preserve"> </w:t>
      </w:r>
      <w:r>
        <w:rPr>
          <w:rFonts w:hint="cs"/>
          <w:rtl/>
        </w:rPr>
        <w:t>ש</w:t>
      </w:r>
      <w:r w:rsidR="003F79F4">
        <w:rPr>
          <w:rFonts w:hint="cs"/>
          <w:rtl/>
        </w:rPr>
        <w:t>ם</w:t>
      </w:r>
    </w:p>
  </w:footnote>
  <w:footnote w:id="8">
    <w:p w14:paraId="3A38C759" w14:textId="733840FB" w:rsidR="001654D8" w:rsidRDefault="001654D8">
      <w:pPr>
        <w:pStyle w:val="a9"/>
        <w:rPr>
          <w:rtl/>
        </w:rPr>
      </w:pPr>
      <w:r>
        <w:rPr>
          <w:rStyle w:val="ab"/>
        </w:rPr>
        <w:footnoteRef/>
      </w:r>
      <w:r>
        <w:rPr>
          <w:rtl/>
        </w:rPr>
        <w:t xml:space="preserve"> </w:t>
      </w:r>
      <w:r>
        <w:rPr>
          <w:rFonts w:hint="cs"/>
          <w:rtl/>
        </w:rPr>
        <w:t>המאור הגדול יז: ד"ה אביי</w:t>
      </w:r>
    </w:p>
  </w:footnote>
  <w:footnote w:id="9">
    <w:p w14:paraId="00DB28AC" w14:textId="3ECA1AAD" w:rsidR="00F71BCD" w:rsidRDefault="00F71BCD">
      <w:pPr>
        <w:pStyle w:val="a9"/>
      </w:pPr>
      <w:r>
        <w:rPr>
          <w:rStyle w:val="ab"/>
        </w:rPr>
        <w:footnoteRef/>
      </w:r>
      <w:r>
        <w:rPr>
          <w:rtl/>
        </w:rPr>
        <w:t xml:space="preserve"> </w:t>
      </w:r>
      <w:r w:rsidR="00125A61">
        <w:rPr>
          <w:rFonts w:hint="cs"/>
          <w:rtl/>
        </w:rPr>
        <w:t>כ</w:t>
      </w:r>
      <w:r>
        <w:rPr>
          <w:rFonts w:hint="cs"/>
          <w:rtl/>
        </w:rPr>
        <w:t>שיטת ר"ת בתוס'</w:t>
      </w:r>
    </w:p>
  </w:footnote>
  <w:footnote w:id="10">
    <w:p w14:paraId="6C66EC26" w14:textId="1CB44ECD" w:rsidR="00C87D39" w:rsidRDefault="00C87D39">
      <w:pPr>
        <w:pStyle w:val="a9"/>
        <w:rPr>
          <w:rtl/>
        </w:rPr>
      </w:pPr>
      <w:r>
        <w:rPr>
          <w:rStyle w:val="ab"/>
        </w:rPr>
        <w:footnoteRef/>
      </w:r>
      <w:r>
        <w:rPr>
          <w:rtl/>
        </w:rPr>
        <w:t xml:space="preserve"> </w:t>
      </w:r>
      <w:r>
        <w:rPr>
          <w:rFonts w:hint="cs"/>
          <w:rtl/>
        </w:rPr>
        <w:t>ע"ז כח</w:t>
      </w:r>
    </w:p>
  </w:footnote>
  <w:footnote w:id="11">
    <w:p w14:paraId="5971695A" w14:textId="48C5B9EA" w:rsidR="004D43BF" w:rsidRDefault="004D43BF">
      <w:pPr>
        <w:pStyle w:val="a9"/>
      </w:pPr>
      <w:r>
        <w:rPr>
          <w:rStyle w:val="ab"/>
        </w:rPr>
        <w:footnoteRef/>
      </w:r>
      <w:r>
        <w:rPr>
          <w:rtl/>
        </w:rPr>
        <w:t xml:space="preserve"> </w:t>
      </w:r>
      <w:r>
        <w:rPr>
          <w:rFonts w:hint="cs"/>
          <w:rtl/>
        </w:rPr>
        <w:t>הל' יסודי התורה ה', ד'</w:t>
      </w:r>
    </w:p>
  </w:footnote>
  <w:footnote w:id="12">
    <w:p w14:paraId="78B3D9CD" w14:textId="19E56AAD" w:rsidR="004D43BF" w:rsidRDefault="004D43BF">
      <w:pPr>
        <w:pStyle w:val="a9"/>
      </w:pPr>
      <w:r>
        <w:rPr>
          <w:rStyle w:val="ab"/>
        </w:rPr>
        <w:footnoteRef/>
      </w:r>
      <w:r>
        <w:rPr>
          <w:rtl/>
        </w:rPr>
        <w:t xml:space="preserve"> </w:t>
      </w:r>
      <w:r>
        <w:rPr>
          <w:rFonts w:hint="cs"/>
          <w:rtl/>
        </w:rPr>
        <w:t>שם</w:t>
      </w:r>
    </w:p>
  </w:footnote>
  <w:footnote w:id="13">
    <w:p w14:paraId="73B2A24C" w14:textId="00CAB77B" w:rsidR="004B669F" w:rsidRDefault="004B669F">
      <w:pPr>
        <w:pStyle w:val="a9"/>
        <w:rPr>
          <w:rtl/>
        </w:rPr>
      </w:pPr>
      <w:r>
        <w:rPr>
          <w:rStyle w:val="ab"/>
        </w:rPr>
        <w:footnoteRef/>
      </w:r>
      <w:r>
        <w:rPr>
          <w:rtl/>
        </w:rPr>
        <w:t xml:space="preserve"> </w:t>
      </w:r>
      <w:r w:rsidR="00AE52B1">
        <w:rPr>
          <w:rFonts w:hint="cs"/>
          <w:rtl/>
        </w:rPr>
        <w:t xml:space="preserve">נמוקי יוסף סנהדרין </w:t>
      </w:r>
      <w:r w:rsidR="00ED1125">
        <w:rPr>
          <w:rFonts w:hint="cs"/>
          <w:rtl/>
        </w:rPr>
        <w:t>יח.</w:t>
      </w:r>
    </w:p>
  </w:footnote>
  <w:footnote w:id="14">
    <w:p w14:paraId="667456F4" w14:textId="0EFB3E7C" w:rsidR="00AB7A82" w:rsidRDefault="00AB7A82">
      <w:pPr>
        <w:pStyle w:val="a9"/>
      </w:pPr>
      <w:r>
        <w:rPr>
          <w:rStyle w:val="ab"/>
        </w:rPr>
        <w:footnoteRef/>
      </w:r>
      <w:r>
        <w:rPr>
          <w:rtl/>
        </w:rPr>
        <w:t xml:space="preserve"> </w:t>
      </w:r>
      <w:r>
        <w:rPr>
          <w:rFonts w:hint="cs"/>
          <w:rtl/>
        </w:rPr>
        <w:t>ר"ן על הרי"ף שבת כב:</w:t>
      </w:r>
    </w:p>
  </w:footnote>
  <w:footnote w:id="15">
    <w:p w14:paraId="339C9E31" w14:textId="736F4A40" w:rsidR="00F079B1" w:rsidRDefault="00F079B1">
      <w:pPr>
        <w:pStyle w:val="a9"/>
        <w:rPr>
          <w:rtl/>
        </w:rPr>
      </w:pPr>
      <w:r>
        <w:rPr>
          <w:rStyle w:val="ab"/>
        </w:rPr>
        <w:footnoteRef/>
      </w:r>
      <w:r>
        <w:rPr>
          <w:rtl/>
        </w:rPr>
        <w:t xml:space="preserve"> </w:t>
      </w:r>
      <w:r>
        <w:rPr>
          <w:rFonts w:hint="cs"/>
          <w:rtl/>
        </w:rPr>
        <w:t>שבת מט.</w:t>
      </w:r>
    </w:p>
  </w:footnote>
  <w:footnote w:id="16">
    <w:p w14:paraId="1F5C9825" w14:textId="7626C7A3" w:rsidR="00AB7A82" w:rsidRDefault="00AB7A82">
      <w:pPr>
        <w:pStyle w:val="a9"/>
        <w:rPr>
          <w:rtl/>
        </w:rPr>
      </w:pPr>
      <w:r>
        <w:rPr>
          <w:rStyle w:val="ab"/>
        </w:rPr>
        <w:footnoteRef/>
      </w:r>
      <w:r>
        <w:rPr>
          <w:rtl/>
        </w:rPr>
        <w:t xml:space="preserve"> </w:t>
      </w:r>
      <w:r>
        <w:rPr>
          <w:rFonts w:hint="cs"/>
          <w:rtl/>
        </w:rPr>
        <w:t>הל' יסודי התורה ה', ד'</w:t>
      </w:r>
    </w:p>
  </w:footnote>
  <w:footnote w:id="17">
    <w:p w14:paraId="6E8B1BA2" w14:textId="7A576169" w:rsidR="00AB7A82" w:rsidRDefault="00AB7A82">
      <w:pPr>
        <w:pStyle w:val="a9"/>
        <w:rPr>
          <w:rtl/>
        </w:rPr>
      </w:pPr>
      <w:r>
        <w:rPr>
          <w:rStyle w:val="ab"/>
        </w:rPr>
        <w:footnoteRef/>
      </w:r>
      <w:r>
        <w:rPr>
          <w:rtl/>
        </w:rPr>
        <w:t xml:space="preserve"> </w:t>
      </w:r>
      <w:r>
        <w:rPr>
          <w:rFonts w:hint="cs"/>
          <w:rtl/>
        </w:rPr>
        <w:t>קמ"ג</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7016D" w14:textId="64F2DDAA" w:rsidR="00994DB5" w:rsidRPr="00994DB5" w:rsidRDefault="005A73BE" w:rsidP="00994DB5">
    <w:pPr>
      <w:pStyle w:val="a5"/>
    </w:pPr>
    <w:r>
      <w:rPr>
        <w:rFonts w:hint="cs"/>
        <w:rtl/>
      </w:rPr>
      <w:t>בס"ד</w:t>
    </w:r>
    <w:r w:rsidR="00994DB5">
      <w:rPr>
        <w:rtl/>
      </w:rPr>
      <w:tab/>
    </w:r>
    <w:r w:rsidR="00994DB5">
      <w:rPr>
        <w:rtl/>
      </w:rPr>
      <w:tab/>
    </w:r>
    <w:r w:rsidR="00994DB5">
      <w:rPr>
        <w:rFonts w:hint="cs"/>
        <w:rtl/>
      </w:rPr>
      <w:t>ז' תשרי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12942"/>
    <w:multiLevelType w:val="hybridMultilevel"/>
    <w:tmpl w:val="B246C9BE"/>
    <w:lvl w:ilvl="0" w:tplc="7438258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BE"/>
    <w:rsid w:val="000006D1"/>
    <w:rsid w:val="0000327A"/>
    <w:rsid w:val="00011A5E"/>
    <w:rsid w:val="00016A8F"/>
    <w:rsid w:val="000631FF"/>
    <w:rsid w:val="000701D2"/>
    <w:rsid w:val="00070684"/>
    <w:rsid w:val="00071087"/>
    <w:rsid w:val="000720B2"/>
    <w:rsid w:val="000735FC"/>
    <w:rsid w:val="000776FA"/>
    <w:rsid w:val="00082966"/>
    <w:rsid w:val="00083766"/>
    <w:rsid w:val="00084929"/>
    <w:rsid w:val="000A7F45"/>
    <w:rsid w:val="000B1729"/>
    <w:rsid w:val="000B591A"/>
    <w:rsid w:val="000D4B34"/>
    <w:rsid w:val="000D5C52"/>
    <w:rsid w:val="000D6D71"/>
    <w:rsid w:val="000E7B2D"/>
    <w:rsid w:val="0010390B"/>
    <w:rsid w:val="0011207D"/>
    <w:rsid w:val="0012301A"/>
    <w:rsid w:val="00125A61"/>
    <w:rsid w:val="00127342"/>
    <w:rsid w:val="001459BE"/>
    <w:rsid w:val="00147567"/>
    <w:rsid w:val="00162506"/>
    <w:rsid w:val="0016507C"/>
    <w:rsid w:val="001654D8"/>
    <w:rsid w:val="001658A9"/>
    <w:rsid w:val="001668B5"/>
    <w:rsid w:val="00173045"/>
    <w:rsid w:val="001768C1"/>
    <w:rsid w:val="00192BF4"/>
    <w:rsid w:val="00195CAC"/>
    <w:rsid w:val="001974CB"/>
    <w:rsid w:val="001C00AE"/>
    <w:rsid w:val="001C60CC"/>
    <w:rsid w:val="00203E8B"/>
    <w:rsid w:val="00205B95"/>
    <w:rsid w:val="00215987"/>
    <w:rsid w:val="00225CE1"/>
    <w:rsid w:val="002279F5"/>
    <w:rsid w:val="0023700C"/>
    <w:rsid w:val="0026302D"/>
    <w:rsid w:val="002640EF"/>
    <w:rsid w:val="00274C74"/>
    <w:rsid w:val="002B318E"/>
    <w:rsid w:val="002C04E3"/>
    <w:rsid w:val="002C453F"/>
    <w:rsid w:val="002C6093"/>
    <w:rsid w:val="002D5891"/>
    <w:rsid w:val="002F125E"/>
    <w:rsid w:val="002F23DC"/>
    <w:rsid w:val="002F7517"/>
    <w:rsid w:val="003245E1"/>
    <w:rsid w:val="00330D82"/>
    <w:rsid w:val="00333135"/>
    <w:rsid w:val="00333FE3"/>
    <w:rsid w:val="0034306C"/>
    <w:rsid w:val="00355E4B"/>
    <w:rsid w:val="00367036"/>
    <w:rsid w:val="00384DDC"/>
    <w:rsid w:val="003A00B0"/>
    <w:rsid w:val="003A375A"/>
    <w:rsid w:val="003B0106"/>
    <w:rsid w:val="003B180A"/>
    <w:rsid w:val="003C27C7"/>
    <w:rsid w:val="003D6A71"/>
    <w:rsid w:val="003F1663"/>
    <w:rsid w:val="003F79F4"/>
    <w:rsid w:val="004134E5"/>
    <w:rsid w:val="00413F0D"/>
    <w:rsid w:val="00414DDB"/>
    <w:rsid w:val="00421205"/>
    <w:rsid w:val="0042544C"/>
    <w:rsid w:val="00426BCB"/>
    <w:rsid w:val="00430ED5"/>
    <w:rsid w:val="00441558"/>
    <w:rsid w:val="00462E55"/>
    <w:rsid w:val="004630E0"/>
    <w:rsid w:val="0046470E"/>
    <w:rsid w:val="004928C1"/>
    <w:rsid w:val="00492EF6"/>
    <w:rsid w:val="004B12AD"/>
    <w:rsid w:val="004B2AA4"/>
    <w:rsid w:val="004B669F"/>
    <w:rsid w:val="004C49AD"/>
    <w:rsid w:val="004D43BF"/>
    <w:rsid w:val="004D6F41"/>
    <w:rsid w:val="004E6F3A"/>
    <w:rsid w:val="004E7E0B"/>
    <w:rsid w:val="00506563"/>
    <w:rsid w:val="00507DD5"/>
    <w:rsid w:val="00532B42"/>
    <w:rsid w:val="005354AD"/>
    <w:rsid w:val="00543F50"/>
    <w:rsid w:val="005512A6"/>
    <w:rsid w:val="005741BC"/>
    <w:rsid w:val="00595752"/>
    <w:rsid w:val="005A73BE"/>
    <w:rsid w:val="005B547A"/>
    <w:rsid w:val="005C40E2"/>
    <w:rsid w:val="005C502B"/>
    <w:rsid w:val="005C5485"/>
    <w:rsid w:val="005C6586"/>
    <w:rsid w:val="005E0F6E"/>
    <w:rsid w:val="005F41CD"/>
    <w:rsid w:val="006016D0"/>
    <w:rsid w:val="006153BA"/>
    <w:rsid w:val="00615CE8"/>
    <w:rsid w:val="00633BDF"/>
    <w:rsid w:val="00651073"/>
    <w:rsid w:val="00656980"/>
    <w:rsid w:val="00671155"/>
    <w:rsid w:val="00685C7A"/>
    <w:rsid w:val="00686DC6"/>
    <w:rsid w:val="00693162"/>
    <w:rsid w:val="006938B9"/>
    <w:rsid w:val="00696165"/>
    <w:rsid w:val="006A29F2"/>
    <w:rsid w:val="006C4CAF"/>
    <w:rsid w:val="006D021C"/>
    <w:rsid w:val="006D115E"/>
    <w:rsid w:val="006F5C2B"/>
    <w:rsid w:val="00702278"/>
    <w:rsid w:val="007110FE"/>
    <w:rsid w:val="007250B2"/>
    <w:rsid w:val="00732B3B"/>
    <w:rsid w:val="0074479C"/>
    <w:rsid w:val="0074559C"/>
    <w:rsid w:val="00751B01"/>
    <w:rsid w:val="00763D5E"/>
    <w:rsid w:val="00764758"/>
    <w:rsid w:val="00765DF9"/>
    <w:rsid w:val="00765E62"/>
    <w:rsid w:val="007946CD"/>
    <w:rsid w:val="007A3D7C"/>
    <w:rsid w:val="007D348B"/>
    <w:rsid w:val="007D3DB8"/>
    <w:rsid w:val="007F0BE9"/>
    <w:rsid w:val="007F32DA"/>
    <w:rsid w:val="00811B82"/>
    <w:rsid w:val="0082212D"/>
    <w:rsid w:val="00825B32"/>
    <w:rsid w:val="00827D3A"/>
    <w:rsid w:val="00845DF7"/>
    <w:rsid w:val="0085741E"/>
    <w:rsid w:val="0086255C"/>
    <w:rsid w:val="00875617"/>
    <w:rsid w:val="00880CDE"/>
    <w:rsid w:val="00883839"/>
    <w:rsid w:val="0089493C"/>
    <w:rsid w:val="008A30B1"/>
    <w:rsid w:val="008C2F76"/>
    <w:rsid w:val="008D4EC3"/>
    <w:rsid w:val="008D624D"/>
    <w:rsid w:val="008F0FCF"/>
    <w:rsid w:val="00901CC3"/>
    <w:rsid w:val="00912381"/>
    <w:rsid w:val="00914790"/>
    <w:rsid w:val="009154CE"/>
    <w:rsid w:val="00921DC4"/>
    <w:rsid w:val="00922C96"/>
    <w:rsid w:val="00932A14"/>
    <w:rsid w:val="009442F7"/>
    <w:rsid w:val="00964D83"/>
    <w:rsid w:val="00971654"/>
    <w:rsid w:val="00983A75"/>
    <w:rsid w:val="00993C99"/>
    <w:rsid w:val="00994DB5"/>
    <w:rsid w:val="00996193"/>
    <w:rsid w:val="009A54E5"/>
    <w:rsid w:val="009B5D3C"/>
    <w:rsid w:val="009C7FD5"/>
    <w:rsid w:val="009E200F"/>
    <w:rsid w:val="009E4F3F"/>
    <w:rsid w:val="009F4609"/>
    <w:rsid w:val="00A1318C"/>
    <w:rsid w:val="00A32253"/>
    <w:rsid w:val="00A41B9E"/>
    <w:rsid w:val="00A53FC5"/>
    <w:rsid w:val="00A61F72"/>
    <w:rsid w:val="00A71461"/>
    <w:rsid w:val="00A8500A"/>
    <w:rsid w:val="00A87D5F"/>
    <w:rsid w:val="00A92884"/>
    <w:rsid w:val="00A9382E"/>
    <w:rsid w:val="00A9470E"/>
    <w:rsid w:val="00A951CA"/>
    <w:rsid w:val="00AA78FC"/>
    <w:rsid w:val="00AB7A82"/>
    <w:rsid w:val="00AC5A90"/>
    <w:rsid w:val="00AD5A34"/>
    <w:rsid w:val="00AE081E"/>
    <w:rsid w:val="00AE22B3"/>
    <w:rsid w:val="00AE4B04"/>
    <w:rsid w:val="00AE52B1"/>
    <w:rsid w:val="00AE56C4"/>
    <w:rsid w:val="00AF256D"/>
    <w:rsid w:val="00AF2DBF"/>
    <w:rsid w:val="00B02240"/>
    <w:rsid w:val="00B04BF2"/>
    <w:rsid w:val="00B23E4C"/>
    <w:rsid w:val="00B3012D"/>
    <w:rsid w:val="00B56DC5"/>
    <w:rsid w:val="00B7470D"/>
    <w:rsid w:val="00B96D7A"/>
    <w:rsid w:val="00B9773D"/>
    <w:rsid w:val="00BA4B01"/>
    <w:rsid w:val="00BB4826"/>
    <w:rsid w:val="00BC5704"/>
    <w:rsid w:val="00BE1BE8"/>
    <w:rsid w:val="00BE2B17"/>
    <w:rsid w:val="00BE335D"/>
    <w:rsid w:val="00C05060"/>
    <w:rsid w:val="00C140C9"/>
    <w:rsid w:val="00C461A6"/>
    <w:rsid w:val="00C50466"/>
    <w:rsid w:val="00C7150D"/>
    <w:rsid w:val="00C748F3"/>
    <w:rsid w:val="00C87D39"/>
    <w:rsid w:val="00C96391"/>
    <w:rsid w:val="00C966FB"/>
    <w:rsid w:val="00C968FC"/>
    <w:rsid w:val="00CA215B"/>
    <w:rsid w:val="00CB3E3C"/>
    <w:rsid w:val="00CC7608"/>
    <w:rsid w:val="00D02AE6"/>
    <w:rsid w:val="00D1422A"/>
    <w:rsid w:val="00D205CE"/>
    <w:rsid w:val="00D25B17"/>
    <w:rsid w:val="00D34644"/>
    <w:rsid w:val="00D36651"/>
    <w:rsid w:val="00D37C8D"/>
    <w:rsid w:val="00D46F39"/>
    <w:rsid w:val="00D554E1"/>
    <w:rsid w:val="00D61109"/>
    <w:rsid w:val="00D8654D"/>
    <w:rsid w:val="00DA2019"/>
    <w:rsid w:val="00DA244C"/>
    <w:rsid w:val="00DB2D40"/>
    <w:rsid w:val="00DC7D64"/>
    <w:rsid w:val="00DD2E1A"/>
    <w:rsid w:val="00DE7D2F"/>
    <w:rsid w:val="00DF0078"/>
    <w:rsid w:val="00DF5E44"/>
    <w:rsid w:val="00E1147E"/>
    <w:rsid w:val="00E20C01"/>
    <w:rsid w:val="00E22729"/>
    <w:rsid w:val="00E32957"/>
    <w:rsid w:val="00E40753"/>
    <w:rsid w:val="00E532D9"/>
    <w:rsid w:val="00E6368A"/>
    <w:rsid w:val="00E839BD"/>
    <w:rsid w:val="00E9319F"/>
    <w:rsid w:val="00E97F31"/>
    <w:rsid w:val="00ED1125"/>
    <w:rsid w:val="00EE0D32"/>
    <w:rsid w:val="00EE105C"/>
    <w:rsid w:val="00EF45DE"/>
    <w:rsid w:val="00EF6854"/>
    <w:rsid w:val="00EF6AFA"/>
    <w:rsid w:val="00F079B1"/>
    <w:rsid w:val="00F100A3"/>
    <w:rsid w:val="00F151AB"/>
    <w:rsid w:val="00F16E7D"/>
    <w:rsid w:val="00F254A3"/>
    <w:rsid w:val="00F41B3F"/>
    <w:rsid w:val="00F4561C"/>
    <w:rsid w:val="00F474B6"/>
    <w:rsid w:val="00F562BF"/>
    <w:rsid w:val="00F57337"/>
    <w:rsid w:val="00F66C88"/>
    <w:rsid w:val="00F71BCD"/>
    <w:rsid w:val="00F72E32"/>
    <w:rsid w:val="00F80F70"/>
    <w:rsid w:val="00F82AAF"/>
    <w:rsid w:val="00F8696D"/>
    <w:rsid w:val="00FC0D7D"/>
    <w:rsid w:val="00FC3B3E"/>
    <w:rsid w:val="00FD0810"/>
    <w:rsid w:val="00FD2E70"/>
    <w:rsid w:val="00FF2C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6C296"/>
  <w15:chartTrackingRefBased/>
  <w15:docId w15:val="{8A4BF794-C2F6-45C3-823F-689D8A240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2E70"/>
    <w:pPr>
      <w:tabs>
        <w:tab w:val="center" w:pos="4153"/>
        <w:tab w:val="right" w:pos="8306"/>
      </w:tabs>
      <w:spacing w:after="0" w:line="240" w:lineRule="auto"/>
    </w:pPr>
    <w:rPr>
      <w:rFonts w:ascii="Heebo" w:hAnsi="Heebo" w:cs="Heebo"/>
    </w:rPr>
  </w:style>
  <w:style w:type="paragraph" w:styleId="1">
    <w:name w:val="heading 1"/>
    <w:basedOn w:val="a"/>
    <w:next w:val="a"/>
    <w:link w:val="10"/>
    <w:uiPriority w:val="9"/>
    <w:qFormat/>
    <w:rsid w:val="00696165"/>
    <w:pPr>
      <w:outlineLvl w:val="0"/>
    </w:pPr>
    <w:rPr>
      <w:rFonts w:ascii="Secular One" w:hAnsi="Secular One" w:cs="Secular One"/>
      <w:sz w:val="44"/>
      <w:szCs w:val="44"/>
    </w:rPr>
  </w:style>
  <w:style w:type="paragraph" w:styleId="2">
    <w:name w:val="heading 2"/>
    <w:basedOn w:val="a"/>
    <w:next w:val="a"/>
    <w:link w:val="20"/>
    <w:uiPriority w:val="9"/>
    <w:qFormat/>
    <w:rsid w:val="00696165"/>
    <w:pPr>
      <w:outlineLvl w:val="1"/>
    </w:pPr>
    <w:rPr>
      <w:rFonts w:ascii="Heebo Medium" w:hAnsi="Heebo Medium" w:cs="Heebo Medium"/>
      <w:sz w:val="26"/>
      <w:szCs w:val="26"/>
    </w:rPr>
  </w:style>
  <w:style w:type="paragraph" w:styleId="5">
    <w:name w:val="heading 5"/>
    <w:basedOn w:val="a"/>
    <w:next w:val="a"/>
    <w:link w:val="50"/>
    <w:uiPriority w:val="9"/>
    <w:semiHidden/>
    <w:unhideWhenUsed/>
    <w:qFormat/>
    <w:rsid w:val="0034306C"/>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696165"/>
    <w:pPr>
      <w:jc w:val="center"/>
    </w:pPr>
    <w:rPr>
      <w:rFonts w:ascii="Suez One" w:hAnsi="Suez One" w:cs="Suez One"/>
      <w:sz w:val="72"/>
      <w:szCs w:val="72"/>
    </w:rPr>
  </w:style>
  <w:style w:type="character" w:customStyle="1" w:styleId="a4">
    <w:name w:val="כותרת טקסט תו"/>
    <w:basedOn w:val="a0"/>
    <w:link w:val="a3"/>
    <w:uiPriority w:val="8"/>
    <w:rsid w:val="00FD2E70"/>
    <w:rPr>
      <w:rFonts w:ascii="Suez One" w:hAnsi="Suez One" w:cs="Suez One"/>
      <w:sz w:val="72"/>
      <w:szCs w:val="72"/>
    </w:rPr>
  </w:style>
  <w:style w:type="character" w:customStyle="1" w:styleId="10">
    <w:name w:val="כותרת 1 תו"/>
    <w:basedOn w:val="a0"/>
    <w:link w:val="1"/>
    <w:uiPriority w:val="9"/>
    <w:rsid w:val="00696165"/>
    <w:rPr>
      <w:rFonts w:ascii="Secular One" w:hAnsi="Secular One" w:cs="Secular One"/>
      <w:sz w:val="44"/>
      <w:szCs w:val="44"/>
    </w:rPr>
  </w:style>
  <w:style w:type="character" w:customStyle="1" w:styleId="20">
    <w:name w:val="כותרת 2 תו"/>
    <w:basedOn w:val="a0"/>
    <w:link w:val="2"/>
    <w:uiPriority w:val="9"/>
    <w:rsid w:val="00FD2E70"/>
    <w:rPr>
      <w:rFonts w:ascii="Heebo Medium" w:hAnsi="Heebo Medium" w:cs="Heebo Medium"/>
      <w:sz w:val="26"/>
      <w:szCs w:val="26"/>
    </w:rPr>
  </w:style>
  <w:style w:type="paragraph" w:styleId="a5">
    <w:name w:val="header"/>
    <w:basedOn w:val="a"/>
    <w:link w:val="a6"/>
    <w:uiPriority w:val="99"/>
    <w:unhideWhenUsed/>
    <w:rsid w:val="005A73BE"/>
  </w:style>
  <w:style w:type="character" w:customStyle="1" w:styleId="a6">
    <w:name w:val="כותרת עליונה תו"/>
    <w:basedOn w:val="a0"/>
    <w:link w:val="a5"/>
    <w:uiPriority w:val="99"/>
    <w:rsid w:val="005A73BE"/>
    <w:rPr>
      <w:rFonts w:ascii="Heebo" w:hAnsi="Heebo" w:cs="Heebo"/>
    </w:rPr>
  </w:style>
  <w:style w:type="paragraph" w:styleId="a7">
    <w:name w:val="footer"/>
    <w:basedOn w:val="a"/>
    <w:link w:val="a8"/>
    <w:uiPriority w:val="99"/>
    <w:unhideWhenUsed/>
    <w:rsid w:val="005A73BE"/>
  </w:style>
  <w:style w:type="character" w:customStyle="1" w:styleId="a8">
    <w:name w:val="כותרת תחתונה תו"/>
    <w:basedOn w:val="a0"/>
    <w:link w:val="a7"/>
    <w:uiPriority w:val="99"/>
    <w:rsid w:val="005A73BE"/>
    <w:rPr>
      <w:rFonts w:ascii="Heebo" w:hAnsi="Heebo" w:cs="Heebo"/>
    </w:rPr>
  </w:style>
  <w:style w:type="paragraph" w:styleId="a9">
    <w:name w:val="footnote text"/>
    <w:basedOn w:val="a"/>
    <w:link w:val="aa"/>
    <w:uiPriority w:val="99"/>
    <w:semiHidden/>
    <w:unhideWhenUsed/>
    <w:rsid w:val="00C87D39"/>
    <w:rPr>
      <w:sz w:val="20"/>
      <w:szCs w:val="20"/>
    </w:rPr>
  </w:style>
  <w:style w:type="character" w:customStyle="1" w:styleId="aa">
    <w:name w:val="טקסט הערת שוליים תו"/>
    <w:basedOn w:val="a0"/>
    <w:link w:val="a9"/>
    <w:uiPriority w:val="99"/>
    <w:semiHidden/>
    <w:rsid w:val="00C87D39"/>
    <w:rPr>
      <w:rFonts w:ascii="Heebo" w:hAnsi="Heebo" w:cs="Heebo"/>
      <w:sz w:val="20"/>
      <w:szCs w:val="20"/>
    </w:rPr>
  </w:style>
  <w:style w:type="character" w:styleId="ab">
    <w:name w:val="footnote reference"/>
    <w:basedOn w:val="a0"/>
    <w:uiPriority w:val="99"/>
    <w:semiHidden/>
    <w:unhideWhenUsed/>
    <w:rsid w:val="00C87D39"/>
    <w:rPr>
      <w:vertAlign w:val="superscript"/>
    </w:rPr>
  </w:style>
  <w:style w:type="character" w:styleId="ac">
    <w:name w:val="Strong"/>
    <w:aliases w:val="ציטוט."/>
    <w:uiPriority w:val="22"/>
    <w:qFormat/>
    <w:rsid w:val="00FD2E70"/>
    <w:rPr>
      <w:rFonts w:ascii="Shofar" w:hAnsi="Shofar" w:cs="Shofar"/>
    </w:rPr>
  </w:style>
  <w:style w:type="paragraph" w:styleId="ad">
    <w:name w:val="No Spacing"/>
    <w:uiPriority w:val="11"/>
    <w:rsid w:val="00FD2E70"/>
    <w:pPr>
      <w:tabs>
        <w:tab w:val="center" w:pos="4153"/>
        <w:tab w:val="right" w:pos="8306"/>
      </w:tabs>
      <w:spacing w:after="0" w:line="240" w:lineRule="auto"/>
    </w:pPr>
    <w:rPr>
      <w:rFonts w:ascii="Heebo" w:hAnsi="Heebo" w:cs="Heebo"/>
    </w:rPr>
  </w:style>
  <w:style w:type="character" w:styleId="ae">
    <w:name w:val="Subtle Emphasis"/>
    <w:basedOn w:val="a0"/>
    <w:uiPriority w:val="19"/>
    <w:rsid w:val="00FD2E70"/>
    <w:rPr>
      <w:i/>
      <w:iCs/>
      <w:color w:val="404040" w:themeColor="text1" w:themeTint="BF"/>
    </w:rPr>
  </w:style>
  <w:style w:type="paragraph" w:styleId="af">
    <w:name w:val="Quote"/>
    <w:aliases w:val="חכחכחכ"/>
    <w:basedOn w:val="a"/>
    <w:next w:val="a"/>
    <w:link w:val="af0"/>
    <w:uiPriority w:val="29"/>
    <w:rsid w:val="00205B95"/>
    <w:pPr>
      <w:spacing w:before="200" w:after="160"/>
      <w:ind w:left="864" w:right="864"/>
      <w:jc w:val="center"/>
    </w:pPr>
    <w:rPr>
      <w:i/>
      <w:iCs/>
      <w:color w:val="404040" w:themeColor="text1" w:themeTint="BF"/>
    </w:rPr>
  </w:style>
  <w:style w:type="character" w:customStyle="1" w:styleId="af0">
    <w:name w:val="ציטוט תו"/>
    <w:aliases w:val="חכחכחכ תו"/>
    <w:basedOn w:val="a0"/>
    <w:link w:val="af"/>
    <w:uiPriority w:val="29"/>
    <w:rsid w:val="00205B95"/>
    <w:rPr>
      <w:rFonts w:ascii="Heebo" w:hAnsi="Heebo" w:cs="Heebo"/>
      <w:i/>
      <w:iCs/>
      <w:color w:val="404040" w:themeColor="text1" w:themeTint="BF"/>
    </w:rPr>
  </w:style>
  <w:style w:type="character" w:styleId="af1">
    <w:name w:val="annotation reference"/>
    <w:basedOn w:val="a0"/>
    <w:uiPriority w:val="99"/>
    <w:semiHidden/>
    <w:unhideWhenUsed/>
    <w:rsid w:val="00506563"/>
    <w:rPr>
      <w:sz w:val="16"/>
      <w:szCs w:val="16"/>
    </w:rPr>
  </w:style>
  <w:style w:type="paragraph" w:styleId="af2">
    <w:name w:val="annotation text"/>
    <w:basedOn w:val="a"/>
    <w:link w:val="af3"/>
    <w:uiPriority w:val="99"/>
    <w:semiHidden/>
    <w:unhideWhenUsed/>
    <w:rsid w:val="00506563"/>
    <w:rPr>
      <w:sz w:val="20"/>
      <w:szCs w:val="20"/>
    </w:rPr>
  </w:style>
  <w:style w:type="character" w:customStyle="1" w:styleId="af3">
    <w:name w:val="טקסט הערה תו"/>
    <w:basedOn w:val="a0"/>
    <w:link w:val="af2"/>
    <w:uiPriority w:val="99"/>
    <w:semiHidden/>
    <w:rsid w:val="00506563"/>
    <w:rPr>
      <w:rFonts w:ascii="Heebo" w:hAnsi="Heebo" w:cs="Heebo"/>
      <w:sz w:val="20"/>
      <w:szCs w:val="20"/>
    </w:rPr>
  </w:style>
  <w:style w:type="paragraph" w:styleId="af4">
    <w:name w:val="annotation subject"/>
    <w:basedOn w:val="af2"/>
    <w:next w:val="af2"/>
    <w:link w:val="af5"/>
    <w:uiPriority w:val="99"/>
    <w:semiHidden/>
    <w:unhideWhenUsed/>
    <w:rsid w:val="00506563"/>
    <w:rPr>
      <w:b/>
      <w:bCs/>
    </w:rPr>
  </w:style>
  <w:style w:type="character" w:customStyle="1" w:styleId="af5">
    <w:name w:val="נושא הערה תו"/>
    <w:basedOn w:val="af3"/>
    <w:link w:val="af4"/>
    <w:uiPriority w:val="99"/>
    <w:semiHidden/>
    <w:rsid w:val="00506563"/>
    <w:rPr>
      <w:rFonts w:ascii="Heebo" w:hAnsi="Heebo" w:cs="Heebo"/>
      <w:b/>
      <w:bCs/>
      <w:sz w:val="20"/>
      <w:szCs w:val="20"/>
    </w:rPr>
  </w:style>
  <w:style w:type="character" w:customStyle="1" w:styleId="af6">
    <w:name w:val="מודגש"/>
    <w:basedOn w:val="a0"/>
    <w:uiPriority w:val="1"/>
    <w:rsid w:val="00127342"/>
    <w:rPr>
      <w:rFonts w:cs="Heebo Medium"/>
      <w:bCs w:val="0"/>
    </w:rPr>
  </w:style>
  <w:style w:type="paragraph" w:styleId="af7">
    <w:name w:val="endnote text"/>
    <w:basedOn w:val="a"/>
    <w:link w:val="af8"/>
    <w:uiPriority w:val="99"/>
    <w:semiHidden/>
    <w:unhideWhenUsed/>
    <w:rsid w:val="00AD5A34"/>
    <w:rPr>
      <w:sz w:val="20"/>
      <w:szCs w:val="20"/>
    </w:rPr>
  </w:style>
  <w:style w:type="character" w:customStyle="1" w:styleId="af8">
    <w:name w:val="טקסט הערת סיום תו"/>
    <w:basedOn w:val="a0"/>
    <w:link w:val="af7"/>
    <w:uiPriority w:val="99"/>
    <w:semiHidden/>
    <w:rsid w:val="00AD5A34"/>
    <w:rPr>
      <w:rFonts w:ascii="Heebo" w:hAnsi="Heebo" w:cs="Heebo"/>
      <w:sz w:val="20"/>
      <w:szCs w:val="20"/>
    </w:rPr>
  </w:style>
  <w:style w:type="character" w:styleId="af9">
    <w:name w:val="endnote reference"/>
    <w:basedOn w:val="a0"/>
    <w:uiPriority w:val="99"/>
    <w:semiHidden/>
    <w:unhideWhenUsed/>
    <w:rsid w:val="00AD5A34"/>
    <w:rPr>
      <w:vertAlign w:val="superscript"/>
    </w:rPr>
  </w:style>
  <w:style w:type="paragraph" w:styleId="afa">
    <w:name w:val="List Paragraph"/>
    <w:basedOn w:val="a"/>
    <w:uiPriority w:val="34"/>
    <w:qFormat/>
    <w:rsid w:val="00845DF7"/>
    <w:pPr>
      <w:ind w:left="720"/>
      <w:contextualSpacing/>
    </w:pPr>
  </w:style>
  <w:style w:type="character" w:customStyle="1" w:styleId="50">
    <w:name w:val="כותרת 5 תו"/>
    <w:basedOn w:val="a0"/>
    <w:link w:val="5"/>
    <w:uiPriority w:val="9"/>
    <w:semiHidden/>
    <w:rsid w:val="0034306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61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F6F17-E8A6-4E4F-AB49-A9410682A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3</Pages>
  <Words>769</Words>
  <Characters>3850</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344</cp:revision>
  <dcterms:created xsi:type="dcterms:W3CDTF">2021-09-13T08:40:00Z</dcterms:created>
  <dcterms:modified xsi:type="dcterms:W3CDTF">2021-09-19T17:09:00Z</dcterms:modified>
</cp:coreProperties>
</file>