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68E81" w14:textId="36C7F3BD" w:rsidR="00A71461" w:rsidRDefault="00245AE6" w:rsidP="00245AE6">
      <w:pPr>
        <w:pStyle w:val="1"/>
        <w:rPr>
          <w:rtl/>
        </w:rPr>
      </w:pPr>
      <w:r>
        <w:rPr>
          <w:rFonts w:hint="cs"/>
          <w:rtl/>
        </w:rPr>
        <w:t>לימוד לא לשמה</w:t>
      </w:r>
    </w:p>
    <w:p w14:paraId="2FDE5F0C" w14:textId="212E50A5" w:rsidR="00245AE6" w:rsidRDefault="00245AE6" w:rsidP="00245AE6">
      <w:pPr>
        <w:rPr>
          <w:rtl/>
        </w:rPr>
      </w:pPr>
      <w:r>
        <w:rPr>
          <w:rFonts w:hint="cs"/>
          <w:rtl/>
        </w:rPr>
        <w:t>הגמרא בברכות</w:t>
      </w:r>
      <w:r>
        <w:rPr>
          <w:rStyle w:val="ab"/>
          <w:rtl/>
        </w:rPr>
        <w:footnoteReference w:id="1"/>
      </w:r>
      <w:r>
        <w:rPr>
          <w:rFonts w:hint="cs"/>
          <w:rtl/>
        </w:rPr>
        <w:t xml:space="preserve"> כותבת שהתכלית של חכמה היא תשובה ומעשים טובים. וכל העושה שלא לשמה נוח לו שלא נברא.</w:t>
      </w:r>
    </w:p>
    <w:p w14:paraId="72DA073F" w14:textId="0DA2DFE0" w:rsidR="00245AE6" w:rsidRDefault="00245AE6" w:rsidP="00245AE6">
      <w:pPr>
        <w:rPr>
          <w:rtl/>
        </w:rPr>
      </w:pPr>
      <w:r>
        <w:rPr>
          <w:rFonts w:hint="cs"/>
          <w:rtl/>
        </w:rPr>
        <w:t>במסכת תענית</w:t>
      </w:r>
      <w:r>
        <w:rPr>
          <w:rStyle w:val="ab"/>
          <w:rtl/>
        </w:rPr>
        <w:footnoteReference w:id="2"/>
      </w:r>
      <w:r>
        <w:rPr>
          <w:rFonts w:hint="cs"/>
          <w:rtl/>
        </w:rPr>
        <w:t>, הגמרא כותבת שכל העוסק בתורה שלא לשמה נעשית לו סם המוות.</w:t>
      </w:r>
    </w:p>
    <w:p w14:paraId="4F3952B3" w14:textId="254962E4" w:rsidR="00245AE6" w:rsidRDefault="00245AE6" w:rsidP="00245AE6">
      <w:pPr>
        <w:rPr>
          <w:rtl/>
        </w:rPr>
      </w:pPr>
      <w:r>
        <w:rPr>
          <w:rFonts w:hint="cs"/>
          <w:rtl/>
        </w:rPr>
        <w:t>גם בירושלמי</w:t>
      </w:r>
      <w:r>
        <w:rPr>
          <w:rStyle w:val="ab"/>
          <w:rtl/>
        </w:rPr>
        <w:footnoteReference w:id="3"/>
      </w:r>
      <w:r>
        <w:rPr>
          <w:rFonts w:hint="cs"/>
          <w:rtl/>
        </w:rPr>
        <w:t xml:space="preserve"> כתוב על הלומד שלא לעשות, שנוח לו שנהפכה שלייתו על פניו ולא יצא לעולם.</w:t>
      </w:r>
    </w:p>
    <w:p w14:paraId="0B638558" w14:textId="31513516" w:rsidR="00245AE6" w:rsidRDefault="00245AE6" w:rsidP="00245AE6">
      <w:pPr>
        <w:rPr>
          <w:rtl/>
        </w:rPr>
      </w:pPr>
      <w:r>
        <w:rPr>
          <w:rFonts w:hint="cs"/>
          <w:rtl/>
        </w:rPr>
        <w:t>במסכת פסחים</w:t>
      </w:r>
      <w:r w:rsidR="00923148">
        <w:rPr>
          <w:rStyle w:val="ab"/>
          <w:rtl/>
        </w:rPr>
        <w:footnoteReference w:id="4"/>
      </w:r>
      <w:r>
        <w:rPr>
          <w:rFonts w:hint="cs"/>
          <w:rtl/>
        </w:rPr>
        <w:t xml:space="preserve"> כתוב: "לעולם יעסוק אדם בתורה ובמצות אף על פי שלא לשמה שמתוך שלא לשמה בא לשמה".</w:t>
      </w:r>
    </w:p>
    <w:p w14:paraId="136E5E5E" w14:textId="47113336" w:rsidR="00CE64E7" w:rsidRDefault="00CE64E7" w:rsidP="00245AE6">
      <w:pPr>
        <w:rPr>
          <w:rtl/>
        </w:rPr>
      </w:pPr>
      <w:r>
        <w:rPr>
          <w:rFonts w:hint="cs"/>
          <w:rtl/>
        </w:rPr>
        <w:t xml:space="preserve">לכאורה יש פה סתירה, האם </w:t>
      </w:r>
      <w:r w:rsidR="00EB3935">
        <w:rPr>
          <w:rFonts w:hint="cs"/>
          <w:rtl/>
        </w:rPr>
        <w:t>לימוד לא לשמה הוא רע או שעדיף ללמוד לא לשמה מאשר לא ללמוד בכלל.</w:t>
      </w:r>
    </w:p>
    <w:p w14:paraId="3ACC8FE9" w14:textId="36DFDC9C" w:rsidR="000145F3" w:rsidRDefault="000145F3" w:rsidP="000145F3">
      <w:pPr>
        <w:rPr>
          <w:rtl/>
        </w:rPr>
      </w:pPr>
      <w:r>
        <w:rPr>
          <w:rFonts w:hint="cs"/>
          <w:rtl/>
        </w:rPr>
        <w:t>יש שיטה שאומרת שגם נוח לו שלא נברא, וגם בסופו של דבר מתוך שלא לשמה בא לשמה. כמו המעשה שאסתר עשתה, שאומרת הגמרא בנזיר</w:t>
      </w:r>
      <w:r>
        <w:rPr>
          <w:rStyle w:val="ab"/>
          <w:rtl/>
        </w:rPr>
        <w:footnoteReference w:id="5"/>
      </w:r>
      <w:r>
        <w:rPr>
          <w:rFonts w:hint="cs"/>
          <w:rtl/>
        </w:rPr>
        <w:t xml:space="preserve"> "גדולה עברה לשמה כמצוה שלא לשמה".</w:t>
      </w:r>
    </w:p>
    <w:p w14:paraId="451F2AA2" w14:textId="4E1A34F3" w:rsidR="000145F3" w:rsidRDefault="007E7BFF" w:rsidP="000145F3">
      <w:pPr>
        <w:rPr>
          <w:rtl/>
        </w:rPr>
      </w:pPr>
      <w:r>
        <w:rPr>
          <w:rFonts w:hint="cs"/>
          <w:rtl/>
        </w:rPr>
        <w:t>ה</w:t>
      </w:r>
      <w:r w:rsidR="000145F3">
        <w:rPr>
          <w:rFonts w:hint="cs"/>
          <w:rtl/>
        </w:rPr>
        <w:t>תוספות</w:t>
      </w:r>
      <w:r>
        <w:rPr>
          <w:rFonts w:hint="cs"/>
          <w:rtl/>
        </w:rPr>
        <w:t>ים הבאים</w:t>
      </w:r>
      <w:r w:rsidR="000145F3">
        <w:rPr>
          <w:rFonts w:hint="cs"/>
          <w:rtl/>
        </w:rPr>
        <w:t xml:space="preserve"> עושים חילוק בין מצב של </w:t>
      </w:r>
      <w:r w:rsidR="000E5159">
        <w:rPr>
          <w:rFonts w:hint="cs"/>
          <w:rtl/>
        </w:rPr>
        <w:t>"</w:t>
      </w:r>
      <w:r w:rsidR="000145F3">
        <w:rPr>
          <w:rFonts w:hint="cs"/>
          <w:rtl/>
        </w:rPr>
        <w:t>לא לשמה</w:t>
      </w:r>
      <w:r w:rsidR="000E5159">
        <w:rPr>
          <w:rFonts w:hint="cs"/>
          <w:rtl/>
        </w:rPr>
        <w:t>"</w:t>
      </w:r>
      <w:r w:rsidR="000145F3">
        <w:rPr>
          <w:rFonts w:hint="cs"/>
          <w:rtl/>
        </w:rPr>
        <w:t xml:space="preserve"> שהוא לא טוב, לבין </w:t>
      </w:r>
      <w:r w:rsidR="000E5159">
        <w:rPr>
          <w:rFonts w:hint="cs"/>
          <w:rtl/>
        </w:rPr>
        <w:t>"</w:t>
      </w:r>
      <w:r w:rsidR="000145F3">
        <w:rPr>
          <w:rFonts w:hint="cs"/>
          <w:rtl/>
        </w:rPr>
        <w:t>לא לשמה</w:t>
      </w:r>
      <w:r w:rsidR="000E5159">
        <w:rPr>
          <w:rFonts w:hint="cs"/>
          <w:rtl/>
        </w:rPr>
        <w:t>"</w:t>
      </w:r>
      <w:r w:rsidR="000145F3">
        <w:rPr>
          <w:rFonts w:hint="cs"/>
          <w:rtl/>
        </w:rPr>
        <w:t xml:space="preserve"> שהוא בסדר.</w:t>
      </w:r>
    </w:p>
    <w:p w14:paraId="5E6E317B" w14:textId="510F4A0E" w:rsidR="007E7BFF" w:rsidRDefault="007E7BFF" w:rsidP="00DD67B7">
      <w:pPr>
        <w:rPr>
          <w:rtl/>
        </w:rPr>
      </w:pPr>
      <w:r>
        <w:rPr>
          <w:rFonts w:hint="cs"/>
          <w:rtl/>
        </w:rPr>
        <w:t>תוספות במסכת סוטה</w:t>
      </w:r>
      <w:r>
        <w:rPr>
          <w:rStyle w:val="ab"/>
          <w:rtl/>
        </w:rPr>
        <w:footnoteReference w:id="6"/>
      </w:r>
      <w:r>
        <w:rPr>
          <w:rFonts w:hint="cs"/>
          <w:rtl/>
        </w:rPr>
        <w:t xml:space="preserve"> אומרים שיש לא לשמה שהוא בשביל למנוע ייסורים ולקבל פרס, ויש לימוד לא לשמה </w:t>
      </w:r>
      <w:r w:rsidR="0003576C">
        <w:rPr>
          <w:rFonts w:hint="cs"/>
          <w:rtl/>
        </w:rPr>
        <w:t>שהוא לא כדי לקיים את מה שלמד, ולכן שגגות נעשים לו זדונות.</w:t>
      </w:r>
    </w:p>
    <w:p w14:paraId="66D3F174" w14:textId="39C1B1B6" w:rsidR="001474F5" w:rsidRDefault="00DD67B7" w:rsidP="002B6310">
      <w:pPr>
        <w:rPr>
          <w:rtl/>
        </w:rPr>
      </w:pPr>
      <w:r>
        <w:rPr>
          <w:rFonts w:hint="cs"/>
          <w:rtl/>
        </w:rPr>
        <w:t>במסכת פסחים</w:t>
      </w:r>
      <w:r>
        <w:rPr>
          <w:rStyle w:val="ab"/>
          <w:rtl/>
        </w:rPr>
        <w:footnoteReference w:id="7"/>
      </w:r>
      <w:r>
        <w:rPr>
          <w:rFonts w:hint="cs"/>
          <w:rtl/>
        </w:rPr>
        <w:t xml:space="preserve"> תוספות אומרים שיש לא לשמה שהוא "כדי להתייהר ולקנטר.. ואינו לומד על מנת לעשות" </w:t>
      </w:r>
      <w:r w:rsidR="00055314">
        <w:rPr>
          <w:rFonts w:hint="cs"/>
          <w:rtl/>
        </w:rPr>
        <w:t>והסוג השני (הטוב) הוא אדם שלומד לא לשמה מתוך עצלות.</w:t>
      </w:r>
      <w:r w:rsidR="002B6310">
        <w:rPr>
          <w:rFonts w:hint="cs"/>
          <w:rtl/>
        </w:rPr>
        <w:t xml:space="preserve"> </w:t>
      </w:r>
      <w:r w:rsidR="001474F5">
        <w:rPr>
          <w:rFonts w:hint="cs"/>
          <w:rtl/>
        </w:rPr>
        <w:t>תוס' רבינו פרץ</w:t>
      </w:r>
      <w:r w:rsidR="00304B1C">
        <w:rPr>
          <w:rStyle w:val="ab"/>
          <w:rtl/>
        </w:rPr>
        <w:footnoteReference w:id="8"/>
      </w:r>
      <w:r w:rsidR="001474F5">
        <w:rPr>
          <w:rFonts w:hint="cs"/>
          <w:rtl/>
        </w:rPr>
        <w:t xml:space="preserve"> מסבירים </w:t>
      </w:r>
      <w:r w:rsidR="00423230">
        <w:rPr>
          <w:rFonts w:hint="cs"/>
          <w:rtl/>
        </w:rPr>
        <w:t>איך אפשר ללמוד</w:t>
      </w:r>
      <w:r w:rsidR="001474F5">
        <w:rPr>
          <w:rFonts w:hint="cs"/>
          <w:rtl/>
        </w:rPr>
        <w:t xml:space="preserve"> "מתוך עצלות" </w:t>
      </w:r>
      <w:r w:rsidR="001474F5">
        <w:rPr>
          <w:rtl/>
        </w:rPr>
        <w:t>–</w:t>
      </w:r>
      <w:r w:rsidR="001474F5">
        <w:rPr>
          <w:rFonts w:hint="cs"/>
          <w:rtl/>
        </w:rPr>
        <w:t xml:space="preserve"> ש</w:t>
      </w:r>
      <w:r w:rsidR="002E5F42">
        <w:rPr>
          <w:rFonts w:hint="cs"/>
          <w:rtl/>
        </w:rPr>
        <w:t xml:space="preserve">עוסק בתורה רק כי </w:t>
      </w:r>
      <w:r w:rsidR="001474F5">
        <w:rPr>
          <w:rFonts w:hint="cs"/>
          <w:rtl/>
        </w:rPr>
        <w:t>אין לו מלאכה אחרת לעשות, אבל אם הייתה לו לא היה עוסק.</w:t>
      </w:r>
      <w:r w:rsidR="0094690F">
        <w:rPr>
          <w:rFonts w:hint="cs"/>
          <w:rtl/>
        </w:rPr>
        <w:t xml:space="preserve"> תירוץ נוסף</w:t>
      </w:r>
      <w:r w:rsidR="00227DE1">
        <w:rPr>
          <w:rFonts w:hint="cs"/>
          <w:rtl/>
        </w:rPr>
        <w:t xml:space="preserve"> זה שהוא עצל לעשות מלאכה ולכן עוסק בתורה.</w:t>
      </w:r>
    </w:p>
    <w:p w14:paraId="25FA33B8" w14:textId="3E3460A9" w:rsidR="00116C7C" w:rsidRDefault="00116C7C" w:rsidP="00DD67B7">
      <w:pPr>
        <w:rPr>
          <w:rtl/>
        </w:rPr>
      </w:pPr>
      <w:r>
        <w:rPr>
          <w:rFonts w:hint="cs"/>
          <w:rtl/>
        </w:rPr>
        <w:t>תוספות במסכת תענית</w:t>
      </w:r>
      <w:r>
        <w:rPr>
          <w:rStyle w:val="ab"/>
          <w:rtl/>
        </w:rPr>
        <w:footnoteReference w:id="9"/>
      </w:r>
      <w:r>
        <w:rPr>
          <w:rFonts w:hint="cs"/>
          <w:rtl/>
        </w:rPr>
        <w:t xml:space="preserve"> מסבירים שסוג אחד זה על מנת שיִקָּרֵא רבי, או כדי שיכבדוהו, והסוג השני זה לומד בשביל לקנטר</w:t>
      </w:r>
      <w:r w:rsidR="00B6189D">
        <w:rPr>
          <w:rFonts w:hint="cs"/>
          <w:rtl/>
        </w:rPr>
        <w:t xml:space="preserve"> (כמו התוספות בפסחים)</w:t>
      </w:r>
      <w:r>
        <w:rPr>
          <w:rFonts w:hint="cs"/>
          <w:rtl/>
        </w:rPr>
        <w:t>.</w:t>
      </w:r>
    </w:p>
    <w:p w14:paraId="7A6D1147" w14:textId="4DDBDACB" w:rsidR="00B6189D" w:rsidRDefault="00B6189D" w:rsidP="00DD67B7">
      <w:pPr>
        <w:rPr>
          <w:rtl/>
        </w:rPr>
      </w:pPr>
      <w:r>
        <w:rPr>
          <w:rFonts w:hint="cs"/>
          <w:rtl/>
        </w:rPr>
        <w:t>במסילת ישרים</w:t>
      </w:r>
      <w:r w:rsidR="00442B46">
        <w:rPr>
          <w:rStyle w:val="ab"/>
          <w:rtl/>
        </w:rPr>
        <w:footnoteReference w:id="10"/>
      </w:r>
      <w:r>
        <w:rPr>
          <w:rFonts w:hint="cs"/>
          <w:rtl/>
        </w:rPr>
        <w:t xml:space="preserve"> כתוב שהסוג </w:t>
      </w:r>
      <w:r w:rsidR="005B3F7B">
        <w:rPr>
          <w:rFonts w:hint="cs"/>
          <w:rtl/>
        </w:rPr>
        <w:t>שעליו כתוב "נוח לו שלא נברא"</w:t>
      </w:r>
      <w:r>
        <w:rPr>
          <w:rFonts w:hint="cs"/>
          <w:rtl/>
        </w:rPr>
        <w:t xml:space="preserve"> הוא בשביל</w:t>
      </w:r>
      <w:r w:rsidR="009E1EA3">
        <w:rPr>
          <w:rFonts w:hint="cs"/>
          <w:rtl/>
        </w:rPr>
        <w:t xml:space="preserve"> להרויח כבוד או ממון</w:t>
      </w:r>
      <w:r>
        <w:rPr>
          <w:rFonts w:hint="cs"/>
          <w:rtl/>
        </w:rPr>
        <w:t xml:space="preserve">, והסוג </w:t>
      </w:r>
      <w:r w:rsidR="00B612C7">
        <w:rPr>
          <w:rFonts w:hint="cs"/>
          <w:rtl/>
        </w:rPr>
        <w:t>השני</w:t>
      </w:r>
      <w:r>
        <w:rPr>
          <w:rFonts w:hint="cs"/>
          <w:rtl/>
        </w:rPr>
        <w:t xml:space="preserve"> הוא בשביל לקבל פרס.</w:t>
      </w:r>
      <w:r w:rsidR="009E1EA3">
        <w:rPr>
          <w:rFonts w:hint="cs"/>
          <w:rtl/>
        </w:rPr>
        <w:t xml:space="preserve"> לכן נראה שהרמח"ל חולק על תוספות במסכת תענית.</w:t>
      </w:r>
    </w:p>
    <w:p w14:paraId="71A42E94" w14:textId="631DC6AB" w:rsidR="00B25ABA" w:rsidRDefault="00C57A16" w:rsidP="00B25ABA">
      <w:pPr>
        <w:rPr>
          <w:rtl/>
        </w:rPr>
      </w:pPr>
      <w:r>
        <w:rPr>
          <w:rFonts w:hint="cs"/>
          <w:rtl/>
        </w:rPr>
        <w:t>המאירי</w:t>
      </w:r>
      <w:r w:rsidR="00B25ABA">
        <w:rPr>
          <w:rStyle w:val="ab"/>
          <w:rtl/>
        </w:rPr>
        <w:footnoteReference w:id="11"/>
      </w:r>
      <w:r>
        <w:rPr>
          <w:rFonts w:hint="cs"/>
          <w:rtl/>
        </w:rPr>
        <w:t xml:space="preserve"> משלב את התוספותים </w:t>
      </w:r>
      <w:r>
        <w:rPr>
          <w:rtl/>
        </w:rPr>
        <w:t>–</w:t>
      </w:r>
      <w:r w:rsidR="00176012">
        <w:rPr>
          <w:rFonts w:hint="cs"/>
          <w:rtl/>
        </w:rPr>
        <w:t xml:space="preserve"> המדרגה הראשונה של לא לשמה זה אדם שלומד מיראה במקום מאהבה, שמלימוד זה בוודאי יגיע ללמוד לשמה. הדרגה השנייה היא להנאת עצמו כגון ביטול מלאכה ("עצלות" בלשון התוספות) שמתוך כך הוא יכול להתעורר ללמוד לשמה, והמדרגה הכי פחות טובה היא מי שלומד בשביל להתגאות על חבריו, שעליו נאמר "נוח לו שלא נברא".</w:t>
      </w:r>
    </w:p>
    <w:p w14:paraId="52DBF65C" w14:textId="34254683" w:rsidR="00B25ABA" w:rsidRDefault="00B25ABA" w:rsidP="00B25ABA">
      <w:pPr>
        <w:rPr>
          <w:rtl/>
        </w:rPr>
      </w:pPr>
      <w:r>
        <w:rPr>
          <w:rFonts w:hint="cs"/>
          <w:rtl/>
        </w:rPr>
        <w:t xml:space="preserve">אור החיים אומר שיש חלוקה בין תחילת הלימוד לבין לאחר שלמד. בתחילת הלימוד גם אם למד בשביל להתיהר או לקנטר, על כך נאמר מתוך שלא לשמה בא לשמה. אחרי שלמד ונתחכם </w:t>
      </w:r>
      <w:r>
        <w:rPr>
          <w:rtl/>
        </w:rPr>
        <w:t>–</w:t>
      </w:r>
      <w:r>
        <w:rPr>
          <w:rFonts w:hint="cs"/>
          <w:rtl/>
        </w:rPr>
        <w:t xml:space="preserve"> אז אמרו שנוח לו שנהפכה לו שלייתו על פניו.</w:t>
      </w:r>
    </w:p>
    <w:p w14:paraId="150EDECB" w14:textId="6D88FD95" w:rsidR="00B25ABA" w:rsidRDefault="00B25ABA" w:rsidP="00B25ABA">
      <w:pPr>
        <w:rPr>
          <w:rtl/>
        </w:rPr>
      </w:pPr>
      <w:r>
        <w:rPr>
          <w:rFonts w:hint="cs"/>
          <w:rtl/>
        </w:rPr>
        <w:t>שו"ע הרב אומר שאדם צריך ללמוד</w:t>
      </w:r>
      <w:r w:rsidR="00C34E81">
        <w:rPr>
          <w:rFonts w:hint="cs"/>
          <w:rtl/>
        </w:rPr>
        <w:t xml:space="preserve"> ולקיים</w:t>
      </w:r>
      <w:r>
        <w:rPr>
          <w:rFonts w:hint="cs"/>
          <w:rtl/>
        </w:rPr>
        <w:t xml:space="preserve"> בלי קשר למצבו כעת, ובזכות </w:t>
      </w:r>
      <w:r w:rsidR="00C34E81">
        <w:rPr>
          <w:rFonts w:hint="cs"/>
          <w:rtl/>
        </w:rPr>
        <w:t>כך</w:t>
      </w:r>
      <w:r>
        <w:rPr>
          <w:rFonts w:hint="cs"/>
          <w:rtl/>
        </w:rPr>
        <w:t xml:space="preserve"> הוא יחזור למוטב.</w:t>
      </w:r>
    </w:p>
    <w:p w14:paraId="3B7529DA" w14:textId="69B4360E" w:rsidR="00106F77" w:rsidRDefault="00106F77" w:rsidP="00B25ABA">
      <w:pPr>
        <w:rPr>
          <w:rtl/>
        </w:rPr>
      </w:pPr>
      <w:r>
        <w:rPr>
          <w:rFonts w:hint="cs"/>
          <w:rtl/>
        </w:rPr>
        <w:t>הרב קוק באורות התורה</w:t>
      </w:r>
      <w:r>
        <w:rPr>
          <w:rStyle w:val="ab"/>
          <w:rtl/>
        </w:rPr>
        <w:footnoteReference w:id="12"/>
      </w:r>
      <w:r>
        <w:rPr>
          <w:rFonts w:hint="cs"/>
          <w:rtl/>
        </w:rPr>
        <w:t xml:space="preserve"> אומר</w:t>
      </w:r>
      <w:r w:rsidR="00686AFC">
        <w:rPr>
          <w:rFonts w:hint="cs"/>
          <w:rtl/>
        </w:rPr>
        <w:t xml:space="preserve"> שלימוד התורה לשמה מגביר את כוחה של כנסת ישראל</w:t>
      </w:r>
      <w:r w:rsidR="008E7C7C">
        <w:rPr>
          <w:rFonts w:hint="cs"/>
          <w:rtl/>
        </w:rPr>
        <w:t xml:space="preserve"> או משהו כזה</w:t>
      </w:r>
      <w:r w:rsidR="00686AFC">
        <w:rPr>
          <w:rFonts w:hint="cs"/>
          <w:rtl/>
        </w:rPr>
        <w:t xml:space="preserve"> ומגדיל את התורה עצמה</w:t>
      </w:r>
      <w:r w:rsidR="005C5B81">
        <w:rPr>
          <w:rFonts w:hint="cs"/>
          <w:rtl/>
        </w:rPr>
        <w:t>, שהיא רוחניות החיים של ישראל</w:t>
      </w:r>
      <w:r w:rsidR="004E71AC">
        <w:rPr>
          <w:rStyle w:val="ab"/>
          <w:rtl/>
        </w:rPr>
        <w:footnoteReference w:id="13"/>
      </w:r>
      <w:r w:rsidR="005C5B81">
        <w:rPr>
          <w:rFonts w:hint="cs"/>
          <w:rtl/>
        </w:rPr>
        <w:t>.</w:t>
      </w:r>
    </w:p>
    <w:sectPr w:rsidR="00106F77" w:rsidSect="00C461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BAB9D" w14:textId="77777777" w:rsidR="00B418AA" w:rsidRDefault="00B418AA" w:rsidP="00CD34AC">
      <w:pPr>
        <w:spacing w:after="0"/>
      </w:pPr>
      <w:r>
        <w:separator/>
      </w:r>
    </w:p>
  </w:endnote>
  <w:endnote w:type="continuationSeparator" w:id="0">
    <w:p w14:paraId="65853D74" w14:textId="77777777" w:rsidR="00B418AA" w:rsidRDefault="00B418AA"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7FE6B"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B049"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74B95"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4E87C" w14:textId="77777777" w:rsidR="00B418AA" w:rsidRDefault="00B418AA" w:rsidP="00CD34AC">
      <w:pPr>
        <w:spacing w:after="0"/>
      </w:pPr>
      <w:r>
        <w:separator/>
      </w:r>
    </w:p>
  </w:footnote>
  <w:footnote w:type="continuationSeparator" w:id="0">
    <w:p w14:paraId="5AF96552" w14:textId="77777777" w:rsidR="00B418AA" w:rsidRDefault="00B418AA" w:rsidP="00CD34AC">
      <w:pPr>
        <w:spacing w:after="0"/>
      </w:pPr>
      <w:r>
        <w:continuationSeparator/>
      </w:r>
    </w:p>
  </w:footnote>
  <w:footnote w:id="1">
    <w:p w14:paraId="08D87F08" w14:textId="2D9CE264" w:rsidR="00245AE6" w:rsidRDefault="00245AE6">
      <w:pPr>
        <w:pStyle w:val="a5"/>
      </w:pPr>
      <w:r>
        <w:rPr>
          <w:rStyle w:val="ab"/>
        </w:rPr>
        <w:footnoteRef/>
      </w:r>
      <w:r>
        <w:rPr>
          <w:rtl/>
        </w:rPr>
        <w:t xml:space="preserve"> </w:t>
      </w:r>
      <w:r>
        <w:rPr>
          <w:rFonts w:hint="cs"/>
          <w:rtl/>
        </w:rPr>
        <w:t>יז.</w:t>
      </w:r>
    </w:p>
  </w:footnote>
  <w:footnote w:id="2">
    <w:p w14:paraId="52ABA4F4" w14:textId="26C92526" w:rsidR="00245AE6" w:rsidRDefault="00245AE6">
      <w:pPr>
        <w:pStyle w:val="a5"/>
      </w:pPr>
      <w:r>
        <w:rPr>
          <w:rStyle w:val="ab"/>
        </w:rPr>
        <w:footnoteRef/>
      </w:r>
      <w:r>
        <w:rPr>
          <w:rtl/>
        </w:rPr>
        <w:t xml:space="preserve"> </w:t>
      </w:r>
      <w:r>
        <w:rPr>
          <w:rFonts w:hint="cs"/>
          <w:rtl/>
        </w:rPr>
        <w:t>ז.</w:t>
      </w:r>
    </w:p>
  </w:footnote>
  <w:footnote w:id="3">
    <w:p w14:paraId="4225DA07" w14:textId="4527DCAB" w:rsidR="00245AE6" w:rsidRDefault="00245AE6">
      <w:pPr>
        <w:pStyle w:val="a5"/>
        <w:rPr>
          <w:rtl/>
        </w:rPr>
      </w:pPr>
      <w:r>
        <w:rPr>
          <w:rStyle w:val="ab"/>
        </w:rPr>
        <w:footnoteRef/>
      </w:r>
      <w:r>
        <w:rPr>
          <w:rtl/>
        </w:rPr>
        <w:t xml:space="preserve"> </w:t>
      </w:r>
      <w:r>
        <w:rPr>
          <w:rFonts w:hint="cs"/>
          <w:rtl/>
        </w:rPr>
        <w:t>ברכות א, ה</w:t>
      </w:r>
    </w:p>
  </w:footnote>
  <w:footnote w:id="4">
    <w:p w14:paraId="75933774" w14:textId="0DC75EE1" w:rsidR="00923148" w:rsidRDefault="00923148">
      <w:pPr>
        <w:pStyle w:val="a5"/>
        <w:rPr>
          <w:rtl/>
        </w:rPr>
      </w:pPr>
      <w:r>
        <w:rPr>
          <w:rStyle w:val="ab"/>
        </w:rPr>
        <w:footnoteRef/>
      </w:r>
      <w:r>
        <w:rPr>
          <w:rtl/>
        </w:rPr>
        <w:t xml:space="preserve"> </w:t>
      </w:r>
      <w:r>
        <w:rPr>
          <w:rFonts w:hint="cs"/>
          <w:rtl/>
        </w:rPr>
        <w:t>נ:</w:t>
      </w:r>
    </w:p>
  </w:footnote>
  <w:footnote w:id="5">
    <w:p w14:paraId="6AE1BE76" w14:textId="0A9C0ADA" w:rsidR="000145F3" w:rsidRDefault="000145F3">
      <w:pPr>
        <w:pStyle w:val="a5"/>
      </w:pPr>
      <w:r>
        <w:rPr>
          <w:rStyle w:val="ab"/>
        </w:rPr>
        <w:footnoteRef/>
      </w:r>
      <w:r>
        <w:rPr>
          <w:rtl/>
        </w:rPr>
        <w:t xml:space="preserve"> </w:t>
      </w:r>
      <w:r>
        <w:rPr>
          <w:rFonts w:hint="cs"/>
          <w:rtl/>
        </w:rPr>
        <w:t>כג:</w:t>
      </w:r>
    </w:p>
  </w:footnote>
  <w:footnote w:id="6">
    <w:p w14:paraId="55BA86C3" w14:textId="75FFB865" w:rsidR="007E7BFF" w:rsidRDefault="007E7BFF">
      <w:pPr>
        <w:pStyle w:val="a5"/>
      </w:pPr>
      <w:r>
        <w:rPr>
          <w:rStyle w:val="ab"/>
        </w:rPr>
        <w:footnoteRef/>
      </w:r>
      <w:r>
        <w:rPr>
          <w:rtl/>
        </w:rPr>
        <w:t xml:space="preserve"> </w:t>
      </w:r>
      <w:r>
        <w:rPr>
          <w:rFonts w:hint="cs"/>
          <w:rtl/>
        </w:rPr>
        <w:t>כב: ד"ה לעולם יעסוק אדם</w:t>
      </w:r>
    </w:p>
  </w:footnote>
  <w:footnote w:id="7">
    <w:p w14:paraId="0B8E893C" w14:textId="79EA38BC" w:rsidR="00DD67B7" w:rsidRDefault="00DD67B7">
      <w:pPr>
        <w:pStyle w:val="a5"/>
      </w:pPr>
      <w:r>
        <w:rPr>
          <w:rStyle w:val="ab"/>
        </w:rPr>
        <w:footnoteRef/>
      </w:r>
      <w:r>
        <w:rPr>
          <w:rtl/>
        </w:rPr>
        <w:t xml:space="preserve"> </w:t>
      </w:r>
      <w:r>
        <w:rPr>
          <w:rFonts w:hint="cs"/>
          <w:rtl/>
        </w:rPr>
        <w:t>נ: ד"ה וכאן</w:t>
      </w:r>
    </w:p>
  </w:footnote>
  <w:footnote w:id="8">
    <w:p w14:paraId="6CF67551" w14:textId="0D644A37" w:rsidR="00304B1C" w:rsidRDefault="00304B1C">
      <w:pPr>
        <w:pStyle w:val="a5"/>
      </w:pPr>
      <w:r>
        <w:rPr>
          <w:rStyle w:val="ab"/>
        </w:rPr>
        <w:footnoteRef/>
      </w:r>
      <w:r>
        <w:rPr>
          <w:rtl/>
        </w:rPr>
        <w:t xml:space="preserve"> </w:t>
      </w:r>
      <w:r>
        <w:rPr>
          <w:rFonts w:hint="cs"/>
          <w:rtl/>
        </w:rPr>
        <w:t>שם</w:t>
      </w:r>
    </w:p>
  </w:footnote>
  <w:footnote w:id="9">
    <w:p w14:paraId="63615476" w14:textId="3C7DB924" w:rsidR="00116C7C" w:rsidRDefault="00116C7C">
      <w:pPr>
        <w:pStyle w:val="a5"/>
      </w:pPr>
      <w:r>
        <w:rPr>
          <w:rStyle w:val="ab"/>
        </w:rPr>
        <w:footnoteRef/>
      </w:r>
      <w:r>
        <w:rPr>
          <w:rtl/>
        </w:rPr>
        <w:t xml:space="preserve"> </w:t>
      </w:r>
      <w:r>
        <w:rPr>
          <w:rFonts w:hint="cs"/>
          <w:rtl/>
        </w:rPr>
        <w:t>ז.</w:t>
      </w:r>
      <w:r w:rsidR="00B6189D">
        <w:rPr>
          <w:rFonts w:hint="cs"/>
          <w:rtl/>
        </w:rPr>
        <w:t xml:space="preserve"> ד"ה וכל העוסק בתורה</w:t>
      </w:r>
    </w:p>
  </w:footnote>
  <w:footnote w:id="10">
    <w:p w14:paraId="3F4F7FBD" w14:textId="5342A194" w:rsidR="00442B46" w:rsidRDefault="00442B46">
      <w:pPr>
        <w:pStyle w:val="a5"/>
      </w:pPr>
      <w:r>
        <w:rPr>
          <w:rStyle w:val="ab"/>
        </w:rPr>
        <w:footnoteRef/>
      </w:r>
      <w:r>
        <w:rPr>
          <w:rtl/>
        </w:rPr>
        <w:t xml:space="preserve"> </w:t>
      </w:r>
      <w:r>
        <w:rPr>
          <w:rFonts w:hint="cs"/>
          <w:rtl/>
        </w:rPr>
        <w:t>פרק ט"ז</w:t>
      </w:r>
    </w:p>
  </w:footnote>
  <w:footnote w:id="11">
    <w:p w14:paraId="1E5E54B9" w14:textId="258ACD79" w:rsidR="00B25ABA" w:rsidRDefault="00B25ABA">
      <w:pPr>
        <w:pStyle w:val="a5"/>
      </w:pPr>
      <w:r>
        <w:rPr>
          <w:rStyle w:val="ab"/>
        </w:rPr>
        <w:footnoteRef/>
      </w:r>
      <w:r>
        <w:rPr>
          <w:rtl/>
        </w:rPr>
        <w:t xml:space="preserve"> </w:t>
      </w:r>
      <w:r>
        <w:rPr>
          <w:rFonts w:hint="cs"/>
          <w:rtl/>
        </w:rPr>
        <w:t>על פסחים נ: ד"ה למדת</w:t>
      </w:r>
    </w:p>
  </w:footnote>
  <w:footnote w:id="12">
    <w:p w14:paraId="23105E84" w14:textId="4D0E4860" w:rsidR="00106F77" w:rsidRDefault="00106F77">
      <w:pPr>
        <w:pStyle w:val="a5"/>
      </w:pPr>
      <w:r>
        <w:rPr>
          <w:rStyle w:val="ab"/>
        </w:rPr>
        <w:footnoteRef/>
      </w:r>
      <w:r>
        <w:rPr>
          <w:rtl/>
        </w:rPr>
        <w:t xml:space="preserve"> </w:t>
      </w:r>
      <w:r>
        <w:rPr>
          <w:rFonts w:hint="cs"/>
          <w:rtl/>
        </w:rPr>
        <w:t>עמ' יד סעיף ו'</w:t>
      </w:r>
    </w:p>
  </w:footnote>
  <w:footnote w:id="13">
    <w:p w14:paraId="418AA05C" w14:textId="49CEBB13" w:rsidR="004E71AC" w:rsidRDefault="004E71AC">
      <w:pPr>
        <w:pStyle w:val="a5"/>
        <w:rPr>
          <w:rFonts w:hint="cs"/>
          <w:rtl/>
        </w:rPr>
      </w:pPr>
      <w:r>
        <w:rPr>
          <w:rStyle w:val="ab"/>
        </w:rPr>
        <w:footnoteRef/>
      </w:r>
      <w:r>
        <w:rPr>
          <w:rtl/>
        </w:rPr>
        <w:t xml:space="preserve"> </w:t>
      </w:r>
      <w:r>
        <w:rPr>
          <w:rFonts w:hint="cs"/>
          <w:rtl/>
        </w:rPr>
        <w:t>ההערות מסודרות ככה כדי שייכנס בעמוד אחד</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9F17"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D3D16" w14:textId="6EAECE0C"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9B4D59">
      <w:rPr>
        <w:rFonts w:ascii="Times New Roman" w:hAnsi="Times New Roman" w:cs="Times New Roman" w:hint="cs"/>
        <w:noProof/>
        <w:rtl/>
      </w:rPr>
      <w:t>‏</w:t>
    </w:r>
    <w:r w:rsidR="009B4D59">
      <w:rPr>
        <w:rFonts w:hint="cs"/>
        <w:noProof/>
        <w:rtl/>
      </w:rPr>
      <w:t>כ</w:t>
    </w:r>
    <w:r w:rsidR="009B4D59">
      <w:rPr>
        <w:noProof/>
        <w:rtl/>
      </w:rPr>
      <w:t>"</w:t>
    </w:r>
    <w:r w:rsidR="009B4D59">
      <w:rPr>
        <w:rFonts w:hint="cs"/>
        <w:noProof/>
        <w:rtl/>
      </w:rPr>
      <w:t>א</w:t>
    </w:r>
    <w:r w:rsidR="009B4D59">
      <w:rPr>
        <w:noProof/>
        <w:rtl/>
      </w:rPr>
      <w:t xml:space="preserve"> </w:t>
    </w:r>
    <w:r w:rsidR="009B4D59">
      <w:rPr>
        <w:rFonts w:hint="cs"/>
        <w:noProof/>
        <w:rtl/>
      </w:rPr>
      <w:t>אדר</w:t>
    </w:r>
    <w:r w:rsidR="009B4D59">
      <w:rPr>
        <w:noProof/>
        <w:rtl/>
      </w:rPr>
      <w:t xml:space="preserve"> </w:t>
    </w:r>
    <w:r w:rsidR="009B4D59">
      <w:rPr>
        <w:rFonts w:hint="cs"/>
        <w:noProof/>
        <w:rtl/>
      </w:rPr>
      <w:t>ב</w:t>
    </w:r>
    <w:r w:rsidR="009B4D59">
      <w:rPr>
        <w:noProof/>
        <w:rtl/>
      </w:rPr>
      <w:t xml:space="preserve"> </w:t>
    </w:r>
    <w:r w:rsidR="009B4D59">
      <w:rPr>
        <w:rFonts w:hint="cs"/>
        <w:noProof/>
        <w:rtl/>
      </w:rPr>
      <w:t>תשפ</w:t>
    </w:r>
    <w:r w:rsidR="009B4D59">
      <w:rPr>
        <w:noProof/>
        <w:rtl/>
      </w:rPr>
      <w:t>"</w:t>
    </w:r>
    <w:r w:rsidR="009B4D59">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BB1E" w14:textId="77777777" w:rsidR="00CD34AC" w:rsidRDefault="00CD34AC">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4C"/>
    <w:rsid w:val="000145F3"/>
    <w:rsid w:val="0003576C"/>
    <w:rsid w:val="00055314"/>
    <w:rsid w:val="000E5159"/>
    <w:rsid w:val="00106F77"/>
    <w:rsid w:val="00116C7C"/>
    <w:rsid w:val="001474F5"/>
    <w:rsid w:val="00147567"/>
    <w:rsid w:val="00164E4E"/>
    <w:rsid w:val="00176012"/>
    <w:rsid w:val="001F3942"/>
    <w:rsid w:val="00227DE1"/>
    <w:rsid w:val="00245AE6"/>
    <w:rsid w:val="00264875"/>
    <w:rsid w:val="002B6310"/>
    <w:rsid w:val="002E5F42"/>
    <w:rsid w:val="00304B1C"/>
    <w:rsid w:val="00345EB8"/>
    <w:rsid w:val="00423230"/>
    <w:rsid w:val="00442B46"/>
    <w:rsid w:val="004875C1"/>
    <w:rsid w:val="004E71AC"/>
    <w:rsid w:val="00521D29"/>
    <w:rsid w:val="005B3F7B"/>
    <w:rsid w:val="005C5B81"/>
    <w:rsid w:val="006140F2"/>
    <w:rsid w:val="006856EA"/>
    <w:rsid w:val="00686AFC"/>
    <w:rsid w:val="00696165"/>
    <w:rsid w:val="006F31E6"/>
    <w:rsid w:val="00710E3B"/>
    <w:rsid w:val="0072639B"/>
    <w:rsid w:val="00734E01"/>
    <w:rsid w:val="007E7BFF"/>
    <w:rsid w:val="00822C42"/>
    <w:rsid w:val="008767CF"/>
    <w:rsid w:val="008E7C7C"/>
    <w:rsid w:val="00900BFA"/>
    <w:rsid w:val="00921F4C"/>
    <w:rsid w:val="00923148"/>
    <w:rsid w:val="0094690F"/>
    <w:rsid w:val="00971C95"/>
    <w:rsid w:val="009B4D59"/>
    <w:rsid w:val="009E1EA3"/>
    <w:rsid w:val="009E3F02"/>
    <w:rsid w:val="00A71461"/>
    <w:rsid w:val="00B25ABA"/>
    <w:rsid w:val="00B3202C"/>
    <w:rsid w:val="00B418AA"/>
    <w:rsid w:val="00B55DCE"/>
    <w:rsid w:val="00B612C7"/>
    <w:rsid w:val="00B6189D"/>
    <w:rsid w:val="00BE6DF8"/>
    <w:rsid w:val="00C34E81"/>
    <w:rsid w:val="00C461A6"/>
    <w:rsid w:val="00C57A16"/>
    <w:rsid w:val="00CD34AC"/>
    <w:rsid w:val="00CE64E7"/>
    <w:rsid w:val="00D910E1"/>
    <w:rsid w:val="00DD67B7"/>
    <w:rsid w:val="00DE251B"/>
    <w:rsid w:val="00EB39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5276"/>
  <w15:chartTrackingRefBased/>
  <w15:docId w15:val="{9A0D7731-1078-4A7C-97F2-7E704346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paragraph" w:styleId="3">
    <w:name w:val="heading 3"/>
    <w:basedOn w:val="a"/>
    <w:next w:val="a"/>
    <w:link w:val="30"/>
    <w:uiPriority w:val="9"/>
    <w:unhideWhenUsed/>
    <w:rsid w:val="00245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B3202C"/>
    <w:rPr>
      <w:rFonts w:ascii="Shofar" w:hAnsi="Shofar" w:cs="Guttman Keren"/>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character" w:customStyle="1" w:styleId="30">
    <w:name w:val="כותרת 3 תו"/>
    <w:basedOn w:val="a0"/>
    <w:link w:val="3"/>
    <w:uiPriority w:val="9"/>
    <w:rsid w:val="00245A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F1D75-9D20-4473-8845-262298DA1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364</Words>
  <Characters>1820</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36</cp:revision>
  <cp:lastPrinted>2022-03-24T17:51:00Z</cp:lastPrinted>
  <dcterms:created xsi:type="dcterms:W3CDTF">2022-03-22T15:43:00Z</dcterms:created>
  <dcterms:modified xsi:type="dcterms:W3CDTF">2022-03-24T17:53:00Z</dcterms:modified>
</cp:coreProperties>
</file>