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3D72" w14:textId="3A1617F1" w:rsidR="00A71461" w:rsidRDefault="0028056B" w:rsidP="0028056B">
      <w:pPr>
        <w:pStyle w:val="1"/>
        <w:rPr>
          <w:rtl/>
        </w:rPr>
      </w:pPr>
      <w:r>
        <w:rPr>
          <w:rFonts w:hint="cs"/>
          <w:rtl/>
        </w:rPr>
        <w:t>קברי צדיקים ועבודת אלילים</w:t>
      </w:r>
    </w:p>
    <w:p w14:paraId="1EB763B5" w14:textId="3857923C" w:rsidR="009F2224" w:rsidRDefault="00160C91" w:rsidP="009F2224">
      <w:pPr>
        <w:pStyle w:val="2"/>
        <w:rPr>
          <w:rtl/>
        </w:rPr>
      </w:pPr>
      <w:r>
        <w:rPr>
          <w:rFonts w:hint="cs"/>
          <w:rtl/>
        </w:rPr>
        <w:t>המתנגדים</w:t>
      </w:r>
    </w:p>
    <w:p w14:paraId="7CA139F6" w14:textId="42EFF045" w:rsidR="0028056B" w:rsidRDefault="003B0637" w:rsidP="0028056B">
      <w:pPr>
        <w:rPr>
          <w:rtl/>
        </w:rPr>
      </w:pPr>
      <w:r>
        <w:rPr>
          <w:rFonts w:hint="cs"/>
          <w:rtl/>
        </w:rPr>
        <w:t>הרמב"ם</w:t>
      </w:r>
      <w:r w:rsidR="008A3634">
        <w:rPr>
          <w:rStyle w:val="ab"/>
          <w:rtl/>
        </w:rPr>
        <w:footnoteReference w:id="1"/>
      </w:r>
      <w:r>
        <w:rPr>
          <w:rFonts w:hint="cs"/>
          <w:rtl/>
        </w:rPr>
        <w:t xml:space="preserve"> כותב שיש אנשים שהולכים לישון בבית הקברות כדי לתקשר עם המתים, ומגיע להם מלקות כי הם </w:t>
      </w:r>
      <w:r w:rsidR="00CF2F0C">
        <w:rPr>
          <w:rFonts w:hint="cs"/>
          <w:rtl/>
        </w:rPr>
        <w:t xml:space="preserve">עוברים על </w:t>
      </w:r>
      <w:r>
        <w:rPr>
          <w:rFonts w:hint="cs"/>
          <w:rtl/>
        </w:rPr>
        <w:t>"דורש אל המתים".</w:t>
      </w:r>
    </w:p>
    <w:p w14:paraId="52CB8F14" w14:textId="68964A31" w:rsidR="003B0637" w:rsidRDefault="003B0637" w:rsidP="0028056B">
      <w:pPr>
        <w:rPr>
          <w:rtl/>
        </w:rPr>
      </w:pPr>
      <w:r>
        <w:rPr>
          <w:rFonts w:hint="cs"/>
          <w:rtl/>
        </w:rPr>
        <w:t>כמו כן בהקדמ</w:t>
      </w:r>
      <w:r w:rsidR="009F2224">
        <w:rPr>
          <w:rFonts w:hint="cs"/>
          <w:rtl/>
        </w:rPr>
        <w:t>ה</w:t>
      </w:r>
      <w:r>
        <w:rPr>
          <w:rFonts w:hint="cs"/>
          <w:rtl/>
        </w:rPr>
        <w:t xml:space="preserve"> לפרק חלק</w:t>
      </w:r>
      <w:r w:rsidR="008A3634">
        <w:rPr>
          <w:rStyle w:val="ab"/>
          <w:rtl/>
        </w:rPr>
        <w:footnoteReference w:id="2"/>
      </w:r>
      <w:r>
        <w:rPr>
          <w:rFonts w:hint="cs"/>
          <w:rtl/>
        </w:rPr>
        <w:t xml:space="preserve"> הוא כותב שאסור להשתמש באמצעים </w:t>
      </w:r>
      <w:r w:rsidR="009F2224">
        <w:rPr>
          <w:rFonts w:hint="cs"/>
          <w:rtl/>
        </w:rPr>
        <w:t>בעולם הזה</w:t>
      </w:r>
      <w:r>
        <w:rPr>
          <w:rFonts w:hint="cs"/>
          <w:rtl/>
        </w:rPr>
        <w:t xml:space="preserve"> בשביל להגיע לקב"ה.</w:t>
      </w:r>
    </w:p>
    <w:p w14:paraId="04FE75BE" w14:textId="572AD1EA" w:rsidR="003B0637" w:rsidRDefault="003B0637" w:rsidP="0028056B">
      <w:pPr>
        <w:rPr>
          <w:rtl/>
        </w:rPr>
      </w:pPr>
      <w:r>
        <w:rPr>
          <w:rFonts w:hint="cs"/>
          <w:rtl/>
        </w:rPr>
        <w:t>הב"ח</w:t>
      </w:r>
      <w:r w:rsidR="008A3634">
        <w:rPr>
          <w:rStyle w:val="ab"/>
          <w:rtl/>
        </w:rPr>
        <w:footnoteReference w:id="3"/>
      </w:r>
      <w:r>
        <w:rPr>
          <w:rFonts w:hint="cs"/>
          <w:rtl/>
        </w:rPr>
        <w:t xml:space="preserve"> כותב שאלה שהולכים לבית הקברות קצת נראים כדורש על המתים, אבל יש לזה סמך בספר הזוהר שאפשר להשתטח על קברי אבות, ואין לבטל מנהג זה.</w:t>
      </w:r>
    </w:p>
    <w:p w14:paraId="7D9BC82E" w14:textId="5B6B9722" w:rsidR="003B0637" w:rsidRDefault="003B0637" w:rsidP="0028056B">
      <w:pPr>
        <w:rPr>
          <w:rtl/>
        </w:rPr>
      </w:pPr>
      <w:r>
        <w:rPr>
          <w:rFonts w:hint="cs"/>
          <w:rtl/>
        </w:rPr>
        <w:t>הש"ך</w:t>
      </w:r>
      <w:r w:rsidR="008A3634">
        <w:rPr>
          <w:rStyle w:val="ab"/>
          <w:rtl/>
        </w:rPr>
        <w:footnoteReference w:id="4"/>
      </w:r>
      <w:r>
        <w:rPr>
          <w:rFonts w:hint="cs"/>
          <w:rtl/>
        </w:rPr>
        <w:t xml:space="preserve"> גם כותב כך, שהב"ח כתב שכבר החזיקו במנהג זה ואין איסור בדבר.</w:t>
      </w:r>
    </w:p>
    <w:p w14:paraId="50EB9D2A" w14:textId="56371C53" w:rsidR="003B0637" w:rsidRDefault="00CC01EC" w:rsidP="0028056B">
      <w:pPr>
        <w:rPr>
          <w:rtl/>
        </w:rPr>
      </w:pPr>
      <w:r>
        <w:rPr>
          <w:rFonts w:hint="cs"/>
          <w:rtl/>
        </w:rPr>
        <w:t>הגר"א כותב לאשתו</w:t>
      </w:r>
      <w:r w:rsidR="00F70164">
        <w:rPr>
          <w:rStyle w:val="ab"/>
          <w:rtl/>
        </w:rPr>
        <w:footnoteReference w:id="5"/>
      </w:r>
      <w:r>
        <w:rPr>
          <w:rFonts w:hint="cs"/>
          <w:rtl/>
        </w:rPr>
        <w:t xml:space="preserve"> "ותשמרי שלא תלכי לבית הקברות כלל וכלל וכל הצרות והעוונות באים מזה".</w:t>
      </w:r>
    </w:p>
    <w:p w14:paraId="3C0C3B5D" w14:textId="4247624C" w:rsidR="00CC01EC" w:rsidRDefault="00CC01EC" w:rsidP="0028056B">
      <w:pPr>
        <w:rPr>
          <w:rtl/>
        </w:rPr>
      </w:pPr>
      <w:r>
        <w:rPr>
          <w:rFonts w:hint="cs"/>
          <w:rtl/>
        </w:rPr>
        <w:t>הרב סולוביצ'יק היה נוהג שלא ללכת לבקר קברי אבות שלא ייראה כדורש אל המתים</w:t>
      </w:r>
      <w:r w:rsidR="00F70164">
        <w:rPr>
          <w:rStyle w:val="ab"/>
          <w:rtl/>
        </w:rPr>
        <w:footnoteReference w:id="6"/>
      </w:r>
      <w:r>
        <w:rPr>
          <w:rFonts w:hint="cs"/>
          <w:rtl/>
        </w:rPr>
        <w:t>.</w:t>
      </w:r>
    </w:p>
    <w:p w14:paraId="52A87610" w14:textId="41071624" w:rsidR="00CC01EC" w:rsidRDefault="00CC01EC" w:rsidP="0028056B">
      <w:pPr>
        <w:rPr>
          <w:rtl/>
        </w:rPr>
      </w:pPr>
      <w:r>
        <w:rPr>
          <w:rFonts w:hint="cs"/>
          <w:rtl/>
        </w:rPr>
        <w:t>בספר "איש ההלכה"</w:t>
      </w:r>
      <w:r w:rsidR="00F70164">
        <w:rPr>
          <w:rStyle w:val="ab"/>
          <w:rtl/>
        </w:rPr>
        <w:footnoteReference w:id="7"/>
      </w:r>
      <w:r>
        <w:rPr>
          <w:rFonts w:hint="cs"/>
          <w:rtl/>
        </w:rPr>
        <w:t xml:space="preserve"> הרב סולוביצ'יק כותב שמיתה וקדושה הם שני כתובים המכחישים זה את זה, ומביא דוגמאות </w:t>
      </w:r>
      <w:r w:rsidR="00571207">
        <w:rPr>
          <w:rFonts w:hint="cs"/>
          <w:rtl/>
        </w:rPr>
        <w:t>ל</w:t>
      </w:r>
      <w:r>
        <w:rPr>
          <w:rFonts w:hint="cs"/>
          <w:rtl/>
        </w:rPr>
        <w:t>רבים שלא ביקרו מעולם בבתי קברות: הגר"א, בית הלוי, ר' חיים מבריסק, ועוד.</w:t>
      </w:r>
    </w:p>
    <w:p w14:paraId="6EF439FE" w14:textId="2AF90620" w:rsidR="00CF2F0C" w:rsidRDefault="00970B07" w:rsidP="0028056B">
      <w:pPr>
        <w:rPr>
          <w:rtl/>
        </w:rPr>
      </w:pPr>
      <w:r>
        <w:rPr>
          <w:rFonts w:hint="cs"/>
          <w:rtl/>
        </w:rPr>
        <w:t>הפתחי תשובה</w:t>
      </w:r>
      <w:r w:rsidR="00BC3AC1">
        <w:rPr>
          <w:rStyle w:val="ab"/>
          <w:rtl/>
        </w:rPr>
        <w:footnoteReference w:id="8"/>
      </w:r>
      <w:r>
        <w:rPr>
          <w:rFonts w:hint="cs"/>
          <w:rtl/>
        </w:rPr>
        <w:t xml:space="preserve"> כותב שלא מצינו שום מצוה ידועה בהשתטחות על קברי צדיקים.</w:t>
      </w:r>
    </w:p>
    <w:p w14:paraId="004FD704" w14:textId="6B255531" w:rsidR="00970B07" w:rsidRDefault="00970B07" w:rsidP="0028056B">
      <w:pPr>
        <w:rPr>
          <w:rtl/>
        </w:rPr>
      </w:pPr>
      <w:r>
        <w:rPr>
          <w:rFonts w:hint="cs"/>
          <w:rtl/>
        </w:rPr>
        <w:t>הר"ן אומר שיש שפע במקומות קברותיהם של הצדיקים, כי עדיין נשאר בעצמותיהם מעלה וכבוד. ולכן כתוב בגמרא</w:t>
      </w:r>
      <w:r>
        <w:rPr>
          <w:rStyle w:val="ab"/>
          <w:rtl/>
        </w:rPr>
        <w:footnoteReference w:id="9"/>
      </w:r>
      <w:r>
        <w:rPr>
          <w:rFonts w:hint="cs"/>
          <w:rtl/>
        </w:rPr>
        <w:t xml:space="preserve"> שראוי להשתטח על קברי הצדיקים ולהתפלל שם</w:t>
      </w:r>
      <w:r w:rsidR="008A3634">
        <w:rPr>
          <w:rFonts w:hint="cs"/>
          <w:rtl/>
        </w:rPr>
        <w:t>.</w:t>
      </w:r>
    </w:p>
    <w:p w14:paraId="13027572" w14:textId="35D29C16" w:rsidR="00160C91" w:rsidRDefault="00160C91" w:rsidP="00160C91">
      <w:pPr>
        <w:pStyle w:val="2"/>
        <w:rPr>
          <w:rtl/>
        </w:rPr>
      </w:pPr>
      <w:r>
        <w:rPr>
          <w:rFonts w:hint="cs"/>
          <w:rtl/>
        </w:rPr>
        <w:t>התומכים</w:t>
      </w:r>
    </w:p>
    <w:p w14:paraId="3895717B" w14:textId="627A9066" w:rsidR="008A3634" w:rsidRDefault="008A3634" w:rsidP="008A3634">
      <w:pPr>
        <w:rPr>
          <w:rtl/>
        </w:rPr>
      </w:pPr>
      <w:r>
        <w:rPr>
          <w:rFonts w:hint="cs"/>
          <w:rtl/>
        </w:rPr>
        <w:t>בשו"ת קול מבשר</w:t>
      </w:r>
      <w:r>
        <w:rPr>
          <w:rStyle w:val="ab"/>
          <w:rtl/>
        </w:rPr>
        <w:footnoteReference w:id="10"/>
      </w:r>
      <w:r>
        <w:rPr>
          <w:rFonts w:hint="cs"/>
          <w:rtl/>
        </w:rPr>
        <w:t>, הוא מביא דוגמאות רבות מהגמרא שבהן אנשים הולכים להשתטח על קברי אבות</w:t>
      </w:r>
      <w:r>
        <w:rPr>
          <w:rStyle w:val="ab"/>
          <w:rtl/>
        </w:rPr>
        <w:footnoteReference w:id="11"/>
      </w:r>
      <w:r>
        <w:rPr>
          <w:rFonts w:hint="cs"/>
          <w:rtl/>
        </w:rPr>
        <w:t xml:space="preserve">, ויותר מזה </w:t>
      </w:r>
      <w:r>
        <w:rPr>
          <w:rtl/>
        </w:rPr>
        <w:t>–</w:t>
      </w:r>
      <w:r>
        <w:rPr>
          <w:rFonts w:hint="cs"/>
          <w:rtl/>
        </w:rPr>
        <w:t xml:space="preserve"> היו מתרפאים בעפר מקברו של רב</w:t>
      </w:r>
      <w:r>
        <w:rPr>
          <w:rStyle w:val="ab"/>
          <w:rtl/>
        </w:rPr>
        <w:footnoteReference w:id="12"/>
      </w:r>
      <w:r>
        <w:rPr>
          <w:rFonts w:hint="cs"/>
          <w:rtl/>
        </w:rPr>
        <w:t>. הוא מביא סיפור של ה"פרי תואר" שהלך לקברו של ה"פרי חדש" וביקש ממנו מחילה על כך שהשיג על ספרו</w:t>
      </w:r>
      <w:r>
        <w:rPr>
          <w:rStyle w:val="ab"/>
          <w:rtl/>
        </w:rPr>
        <w:footnoteReference w:id="13"/>
      </w:r>
      <w:r>
        <w:rPr>
          <w:rFonts w:hint="cs"/>
          <w:rtl/>
        </w:rPr>
        <w:t>.</w:t>
      </w:r>
    </w:p>
    <w:p w14:paraId="7CBCAA53" w14:textId="3407749E" w:rsidR="008A3634" w:rsidRDefault="00160C91" w:rsidP="008A3634">
      <w:pPr>
        <w:rPr>
          <w:rtl/>
        </w:rPr>
      </w:pPr>
      <w:r>
        <w:rPr>
          <w:rFonts w:hint="cs"/>
          <w:rtl/>
        </w:rPr>
        <w:t>גם הרב עובדיה</w:t>
      </w:r>
      <w:r w:rsidR="00F70164">
        <w:rPr>
          <w:rStyle w:val="ab"/>
          <w:rtl/>
        </w:rPr>
        <w:footnoteReference w:id="14"/>
      </w:r>
      <w:r>
        <w:rPr>
          <w:rFonts w:hint="cs"/>
          <w:rtl/>
        </w:rPr>
        <w:t xml:space="preserve"> כותב שיש סמך למנהג זה, להתפלל על כל צרה שלא תבוא, ומביא את הזוהר ואת הב"ח, שאין למנוע ולבטל מנהג זה.</w:t>
      </w:r>
    </w:p>
    <w:p w14:paraId="1D119F1A" w14:textId="1AB1DDE6" w:rsidR="004505AB" w:rsidRDefault="008361F6" w:rsidP="004505AB">
      <w:pPr>
        <w:pStyle w:val="2"/>
        <w:rPr>
          <w:rtl/>
        </w:rPr>
      </w:pPr>
      <w:r>
        <w:rPr>
          <w:rFonts w:hint="cs"/>
          <w:rtl/>
        </w:rPr>
        <w:t>הסיבה</w:t>
      </w:r>
    </w:p>
    <w:p w14:paraId="17A2628A" w14:textId="33F560A6" w:rsidR="004505AB" w:rsidRDefault="004505AB" w:rsidP="004505AB">
      <w:pPr>
        <w:rPr>
          <w:rtl/>
        </w:rPr>
      </w:pPr>
      <w:r>
        <w:rPr>
          <w:rFonts w:hint="cs"/>
          <w:rtl/>
        </w:rPr>
        <w:t>החכמת אדם</w:t>
      </w:r>
      <w:r w:rsidR="00B74FDC">
        <w:rPr>
          <w:rStyle w:val="ab"/>
          <w:rtl/>
        </w:rPr>
        <w:footnoteReference w:id="15"/>
      </w:r>
      <w:r w:rsidR="00B74FDC">
        <w:rPr>
          <w:rFonts w:hint="cs"/>
          <w:rtl/>
        </w:rPr>
        <w:t xml:space="preserve"> אומר</w:t>
      </w:r>
      <w:r>
        <w:rPr>
          <w:rFonts w:hint="cs"/>
          <w:rtl/>
        </w:rPr>
        <w:t xml:space="preserve"> </w:t>
      </w:r>
      <w:r w:rsidR="00B74FDC">
        <w:rPr>
          <w:rFonts w:hint="cs"/>
          <w:rtl/>
        </w:rPr>
        <w:t>ש</w:t>
      </w:r>
      <w:r>
        <w:rPr>
          <w:rFonts w:hint="cs"/>
          <w:rtl/>
        </w:rPr>
        <w:t xml:space="preserve">אנשים </w:t>
      </w:r>
      <w:r w:rsidR="00B74FDC">
        <w:rPr>
          <w:rFonts w:hint="cs"/>
          <w:rtl/>
        </w:rPr>
        <w:t>ה</w:t>
      </w:r>
      <w:r>
        <w:rPr>
          <w:rFonts w:hint="cs"/>
          <w:rtl/>
        </w:rPr>
        <w:t>הולכים על קברי מתים ואומרים להם צרותיהם, נקראים "דורש אל המתים". מי שרוצה ללכת להשתטח צריך להתפלל לה' שימלא שאלותיו בזכות אבותיו והצדיקים.</w:t>
      </w:r>
    </w:p>
    <w:p w14:paraId="535B9677" w14:textId="2B6278A6" w:rsidR="004505AB" w:rsidRDefault="004505AB" w:rsidP="004505AB">
      <w:pPr>
        <w:rPr>
          <w:rtl/>
        </w:rPr>
      </w:pPr>
      <w:r>
        <w:rPr>
          <w:rFonts w:hint="cs"/>
          <w:rtl/>
        </w:rPr>
        <w:t>כך גם בבאר היטב</w:t>
      </w:r>
      <w:r w:rsidR="00B74FDC">
        <w:rPr>
          <w:rStyle w:val="ab"/>
          <w:rtl/>
        </w:rPr>
        <w:footnoteReference w:id="16"/>
      </w:r>
      <w:r>
        <w:rPr>
          <w:rFonts w:hint="cs"/>
          <w:rtl/>
        </w:rPr>
        <w:t xml:space="preserve"> כתוב שצריך לבקש מה' שייתן עליו רחמים בזכות הצדיקים.</w:t>
      </w:r>
    </w:p>
    <w:p w14:paraId="7C5DF2F8" w14:textId="1EC2FC33" w:rsidR="004505AB" w:rsidRDefault="004505AB" w:rsidP="004505AB">
      <w:pPr>
        <w:rPr>
          <w:rtl/>
        </w:rPr>
      </w:pPr>
      <w:r>
        <w:rPr>
          <w:rFonts w:hint="cs"/>
          <w:rtl/>
        </w:rPr>
        <w:lastRenderedPageBreak/>
        <w:t>בסידור מענה לשון</w:t>
      </w:r>
      <w:r w:rsidR="00B74FDC">
        <w:rPr>
          <w:rStyle w:val="ab"/>
          <w:rtl/>
        </w:rPr>
        <w:footnoteReference w:id="17"/>
      </w:r>
      <w:r>
        <w:rPr>
          <w:rFonts w:hint="cs"/>
          <w:rtl/>
        </w:rPr>
        <w:t xml:space="preserve"> מובאת שיטה שכן פונים אל הצדיק ומבקשים מהנפש שלו</w:t>
      </w:r>
      <w:r w:rsidR="00F369AC">
        <w:rPr>
          <w:rFonts w:hint="cs"/>
          <w:rtl/>
        </w:rPr>
        <w:t xml:space="preserve"> "להליץ טוב בעדנו" </w:t>
      </w:r>
      <w:r w:rsidR="00F369AC">
        <w:rPr>
          <w:rtl/>
        </w:rPr>
        <w:t>–</w:t>
      </w:r>
      <w:r w:rsidR="00F369AC">
        <w:rPr>
          <w:rFonts w:hint="cs"/>
          <w:rtl/>
        </w:rPr>
        <w:t xml:space="preserve"> לבקש מהקב"ה בשבילנו.</w:t>
      </w:r>
    </w:p>
    <w:p w14:paraId="06016BA9" w14:textId="7CCB5A37" w:rsidR="00FA1068" w:rsidRDefault="00B74FDC" w:rsidP="00FA1068">
      <w:pPr>
        <w:rPr>
          <w:rtl/>
        </w:rPr>
      </w:pPr>
      <w:r>
        <w:rPr>
          <w:rFonts w:hint="cs"/>
          <w:rtl/>
        </w:rPr>
        <w:t>במנחת יצחק</w:t>
      </w:r>
      <w:r w:rsidR="00FA1068">
        <w:rPr>
          <w:rStyle w:val="ab"/>
          <w:rtl/>
        </w:rPr>
        <w:footnoteReference w:id="18"/>
      </w:r>
      <w:r>
        <w:rPr>
          <w:rFonts w:hint="cs"/>
          <w:rtl/>
        </w:rPr>
        <w:t xml:space="preserve"> מובאת שיטה נוספת </w:t>
      </w:r>
      <w:r>
        <w:rPr>
          <w:rtl/>
        </w:rPr>
        <w:t>–</w:t>
      </w:r>
      <w:r>
        <w:rPr>
          <w:rFonts w:hint="cs"/>
          <w:rtl/>
        </w:rPr>
        <w:t xml:space="preserve"> אדם מודיע לצדיק את צערו וגורם לצדיק להצטער עמו, ובזכות צער הצדיק יהיה תשועה למתפלל.</w:t>
      </w:r>
      <w:r w:rsidR="00FA1068">
        <w:rPr>
          <w:rFonts w:hint="cs"/>
          <w:rtl/>
        </w:rPr>
        <w:t xml:space="preserve"> הוא אומר שאין חשש להתפלל בצורה כזו, אבל לא בטוח שיש מצוה לעשות כן, אלא "שב ואל תעשה" עדיף.</w:t>
      </w:r>
    </w:p>
    <w:p w14:paraId="2050FD86" w14:textId="7D6C9577" w:rsidR="00CD346A" w:rsidRDefault="00CD346A" w:rsidP="00FA1068">
      <w:pPr>
        <w:rPr>
          <w:rtl/>
        </w:rPr>
      </w:pPr>
      <w:r>
        <w:rPr>
          <w:rFonts w:hint="cs"/>
          <w:rtl/>
        </w:rPr>
        <w:t>הרב אליהו תולה את המחלוקת הזאת</w:t>
      </w:r>
      <w:r w:rsidR="001540BE">
        <w:rPr>
          <w:rFonts w:hint="cs"/>
          <w:rtl/>
        </w:rPr>
        <w:t xml:space="preserve"> (של הסיבה לביקור בקברי צדיקים)</w:t>
      </w:r>
      <w:r>
        <w:rPr>
          <w:rFonts w:hint="cs"/>
          <w:rtl/>
        </w:rPr>
        <w:t xml:space="preserve"> במחלוקת במסכת תענית</w:t>
      </w:r>
      <w:r>
        <w:rPr>
          <w:rStyle w:val="ab"/>
          <w:rtl/>
        </w:rPr>
        <w:footnoteReference w:id="19"/>
      </w:r>
      <w:r w:rsidR="00E67C1E">
        <w:rPr>
          <w:rFonts w:hint="cs"/>
          <w:rtl/>
        </w:rPr>
        <w:t xml:space="preserve"> למה יוצאים לבית הקברות בסוף שבע תעניות אחרונות על הגשמים</w:t>
      </w:r>
      <w:r>
        <w:rPr>
          <w:rFonts w:hint="cs"/>
          <w:rtl/>
        </w:rPr>
        <w:t xml:space="preserve"> - רבי לוי בר חמא ורבי חנינא חלקו, אחד אמר </w:t>
      </w:r>
      <w:r w:rsidR="0047615F">
        <w:rPr>
          <w:rFonts w:hint="cs"/>
          <w:rtl/>
        </w:rPr>
        <w:t>שזה</w:t>
      </w:r>
      <w:r>
        <w:rPr>
          <w:rFonts w:hint="cs"/>
          <w:rtl/>
        </w:rPr>
        <w:t xml:space="preserve"> בשביל לומר לקב"ה הרי אנו חשובים לפניך כמתים, ואחד אמר שזה בשביל שהמתים יבקשו עלינו רחמים.</w:t>
      </w:r>
    </w:p>
    <w:p w14:paraId="02633C32" w14:textId="29214FB9" w:rsidR="001540BE" w:rsidRDefault="001C5664" w:rsidP="00FA1068">
      <w:pPr>
        <w:rPr>
          <w:rtl/>
        </w:rPr>
      </w:pPr>
      <w:r>
        <w:rPr>
          <w:rFonts w:hint="cs"/>
          <w:rtl/>
        </w:rPr>
        <w:t>הרמ"א</w:t>
      </w:r>
      <w:r>
        <w:rPr>
          <w:rStyle w:val="ab"/>
          <w:rtl/>
        </w:rPr>
        <w:footnoteReference w:id="20"/>
      </w:r>
      <w:r>
        <w:rPr>
          <w:rFonts w:hint="cs"/>
          <w:rtl/>
        </w:rPr>
        <w:t xml:space="preserve"> כותב לגבי אותן שבע תעניות שאם אין קברי ישראל הולכים על קברי כותים, משמע שהוא מסכים עם הדעה של "הרי אנו חשובים לפניך כמתים".</w:t>
      </w:r>
    </w:p>
    <w:p w14:paraId="4814E62D" w14:textId="13B10D1F" w:rsidR="001C5664" w:rsidRDefault="001C5664" w:rsidP="00FA1068">
      <w:pPr>
        <w:rPr>
          <w:rtl/>
        </w:rPr>
      </w:pPr>
      <w:r>
        <w:rPr>
          <w:rFonts w:hint="cs"/>
          <w:rtl/>
        </w:rPr>
        <w:t xml:space="preserve">המשנ"ב שם כותב שאין ללכת לקברי כותים אם זה בשביל שיבקשו עלינו המתים רחמים, ולפי הנוסח שלנו </w:t>
      </w:r>
      <w:r w:rsidR="00790E55">
        <w:rPr>
          <w:rFonts w:hint="cs"/>
          <w:rtl/>
        </w:rPr>
        <w:t>(</w:t>
      </w:r>
      <w:r>
        <w:rPr>
          <w:rFonts w:hint="cs"/>
          <w:rtl/>
        </w:rPr>
        <w:t>"מכניסי רחמים הכניסו רחמינו"</w:t>
      </w:r>
      <w:r w:rsidR="00790E55">
        <w:rPr>
          <w:rFonts w:hint="cs"/>
          <w:rtl/>
        </w:rPr>
        <w:t>)</w:t>
      </w:r>
      <w:r>
        <w:rPr>
          <w:rFonts w:hint="cs"/>
          <w:rtl/>
        </w:rPr>
        <w:t xml:space="preserve"> ודאי צריך דווקא קברי ישראל.</w:t>
      </w:r>
    </w:p>
    <w:p w14:paraId="26E8E77F" w14:textId="63B7C55C" w:rsidR="001C5664" w:rsidRPr="004505AB" w:rsidRDefault="00FB4FD3" w:rsidP="00FA1068">
      <w:r>
        <w:rPr>
          <w:rFonts w:hint="cs"/>
          <w:rtl/>
        </w:rPr>
        <w:t>באגרת המיוחסת ל</w:t>
      </w:r>
      <w:r w:rsidR="001C5664">
        <w:rPr>
          <w:rFonts w:hint="cs"/>
          <w:rtl/>
        </w:rPr>
        <w:t>רמב"ם</w:t>
      </w:r>
      <w:r w:rsidR="00C72C1F">
        <w:rPr>
          <w:rStyle w:val="ab"/>
          <w:rtl/>
        </w:rPr>
        <w:footnoteReference w:id="21"/>
      </w:r>
      <w:r w:rsidR="001C566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כתוב </w:t>
      </w:r>
      <w:r w:rsidR="001C5664">
        <w:rPr>
          <w:rFonts w:hint="cs"/>
          <w:rtl/>
        </w:rPr>
        <w:t>שהוא ירד לנשק קברי אבותיו במערה</w:t>
      </w:r>
      <w:r>
        <w:rPr>
          <w:rFonts w:hint="cs"/>
          <w:rtl/>
        </w:rPr>
        <w:t>, אך רבים טוענים שזה לא נכתב ע"י הרמב"ם</w:t>
      </w:r>
      <w:r w:rsidR="001C5664">
        <w:rPr>
          <w:rFonts w:hint="cs"/>
          <w:rtl/>
        </w:rPr>
        <w:t>.</w:t>
      </w:r>
    </w:p>
    <w:sectPr w:rsidR="001C5664" w:rsidRPr="004505AB" w:rsidSect="00446D94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1C01" w14:textId="77777777" w:rsidR="00F755E1" w:rsidRDefault="00F755E1" w:rsidP="00CD34AC">
      <w:pPr>
        <w:spacing w:after="0"/>
      </w:pPr>
      <w:r>
        <w:separator/>
      </w:r>
    </w:p>
  </w:endnote>
  <w:endnote w:type="continuationSeparator" w:id="0">
    <w:p w14:paraId="570D2CBC" w14:textId="77777777" w:rsidR="00F755E1" w:rsidRDefault="00F755E1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02B8" w14:textId="77777777" w:rsidR="00F755E1" w:rsidRDefault="00F755E1" w:rsidP="00CD34AC">
      <w:pPr>
        <w:spacing w:after="0"/>
      </w:pPr>
      <w:r>
        <w:separator/>
      </w:r>
    </w:p>
  </w:footnote>
  <w:footnote w:type="continuationSeparator" w:id="0">
    <w:p w14:paraId="674C864E" w14:textId="77777777" w:rsidR="00F755E1" w:rsidRDefault="00F755E1" w:rsidP="00CD34AC">
      <w:pPr>
        <w:spacing w:after="0"/>
      </w:pPr>
      <w:r>
        <w:continuationSeparator/>
      </w:r>
    </w:p>
  </w:footnote>
  <w:footnote w:id="1">
    <w:p w14:paraId="1E52BE3E" w14:textId="3AF7EE1B" w:rsidR="008A3634" w:rsidRDefault="008A3634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הל' ע"ז פי"א הי"ג</w:t>
      </w:r>
    </w:p>
  </w:footnote>
  <w:footnote w:id="2">
    <w:p w14:paraId="59707A74" w14:textId="3DC8B093" w:rsidR="008A3634" w:rsidRDefault="008A363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העיקר החמישי</w:t>
      </w:r>
    </w:p>
  </w:footnote>
  <w:footnote w:id="3">
    <w:p w14:paraId="20C3E809" w14:textId="0E07C70B" w:rsidR="008A3634" w:rsidRDefault="008A3634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יו"ד ריז</w:t>
      </w:r>
    </w:p>
  </w:footnote>
  <w:footnote w:id="4">
    <w:p w14:paraId="4991DEA6" w14:textId="5A5CD163" w:rsidR="008A3634" w:rsidRDefault="008A363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יו"ד קעט ס"ק טו'</w:t>
      </w:r>
    </w:p>
  </w:footnote>
  <w:footnote w:id="5">
    <w:p w14:paraId="1B4683C8" w14:textId="018E11A4" w:rsidR="00F70164" w:rsidRDefault="00F7016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אגרת הגר"א לאשתו</w:t>
      </w:r>
    </w:p>
  </w:footnote>
  <w:footnote w:id="6">
    <w:p w14:paraId="4792CD69" w14:textId="73881733" w:rsidR="00F70164" w:rsidRDefault="00F7016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נפש הרב, עמ' רנ"ד</w:t>
      </w:r>
    </w:p>
  </w:footnote>
  <w:footnote w:id="7">
    <w:p w14:paraId="578DF4DC" w14:textId="6C55A324" w:rsidR="00F70164" w:rsidRDefault="00F70164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עמ' 40</w:t>
      </w:r>
    </w:p>
  </w:footnote>
  <w:footnote w:id="8">
    <w:p w14:paraId="2E6CC24F" w14:textId="39B677C6" w:rsidR="00BC3AC1" w:rsidRDefault="00BC3AC1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יו"ד שעב סק"ב בשם שו"ת בתי כהונה</w:t>
      </w:r>
    </w:p>
  </w:footnote>
  <w:footnote w:id="9">
    <w:p w14:paraId="2C64A673" w14:textId="00042DB4" w:rsidR="00970B07" w:rsidRDefault="00970B07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סוטה לד:</w:t>
      </w:r>
    </w:p>
  </w:footnote>
  <w:footnote w:id="10">
    <w:p w14:paraId="317B3D8A" w14:textId="09898BCB" w:rsidR="008A3634" w:rsidRDefault="008A363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ח"ב סימן ז'</w:t>
      </w:r>
    </w:p>
  </w:footnote>
  <w:footnote w:id="11">
    <w:p w14:paraId="3BDD1C72" w14:textId="33399E15" w:rsidR="008A3634" w:rsidRDefault="008A363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תענית כג:, חגיגה כב:, יומא פז., מכות ה:</w:t>
      </w:r>
    </w:p>
  </w:footnote>
  <w:footnote w:id="12">
    <w:p w14:paraId="0B934981" w14:textId="3E76AF22" w:rsidR="008A3634" w:rsidRDefault="008A363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סנהדרין מז:</w:t>
      </w:r>
    </w:p>
  </w:footnote>
  <w:footnote w:id="13">
    <w:p w14:paraId="6AE2A401" w14:textId="139502F5" w:rsidR="008A3634" w:rsidRDefault="008A3634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הפרי חדש השיג על השו"ע ואז הפרי תואר השיג על הפרי חדש, ו"הגן" על השו"ע.</w:t>
      </w:r>
    </w:p>
  </w:footnote>
  <w:footnote w:id="14">
    <w:p w14:paraId="08BF7BDD" w14:textId="7CD36E30" w:rsidR="00F70164" w:rsidRDefault="00F70164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שו"ת יחוה דעת חלק ה' סי' ל"ה</w:t>
      </w:r>
    </w:p>
  </w:footnote>
  <w:footnote w:id="15">
    <w:p w14:paraId="67899CB0" w14:textId="73D772F8" w:rsidR="00B74FDC" w:rsidRDefault="00B74FDC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כלל פט</w:t>
      </w:r>
    </w:p>
  </w:footnote>
  <w:footnote w:id="16">
    <w:p w14:paraId="7BBB4926" w14:textId="74CE05D7" w:rsidR="00B74FDC" w:rsidRDefault="00B74FDC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תקפא-יז בשם מהרי"ל</w:t>
      </w:r>
    </w:p>
  </w:footnote>
  <w:footnote w:id="17">
    <w:p w14:paraId="21346A16" w14:textId="5594562C" w:rsidR="00B74FDC" w:rsidRDefault="00B74FDC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פמ"ג א"א תקפא-טז</w:t>
      </w:r>
    </w:p>
  </w:footnote>
  <w:footnote w:id="18">
    <w:p w14:paraId="4679AA85" w14:textId="1E7ACD2B" w:rsidR="00FA1068" w:rsidRDefault="00FA1068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ח"ח סי' נ"ג על שיטת שו"ת מהר"ם שיק</w:t>
      </w:r>
    </w:p>
  </w:footnote>
  <w:footnote w:id="19">
    <w:p w14:paraId="26F11075" w14:textId="7E11ECE0" w:rsidR="00CD346A" w:rsidRDefault="00CD346A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טז.</w:t>
      </w:r>
    </w:p>
  </w:footnote>
  <w:footnote w:id="20">
    <w:p w14:paraId="7DFC43F2" w14:textId="0509F685" w:rsidR="001C5664" w:rsidRDefault="001C5664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או"ח תקעט-ג</w:t>
      </w:r>
    </w:p>
  </w:footnote>
  <w:footnote w:id="21">
    <w:p w14:paraId="1C1B4AE4" w14:textId="6283431D" w:rsidR="00C72C1F" w:rsidRDefault="00C72C1F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מהד' שילת עמ' רכה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BC23" w14:textId="112227EF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 w:rsidR="00A22139">
      <w:rPr>
        <w:rFonts w:ascii="Times New Roman" w:hAnsi="Times New Roman" w:cs="Times New Roman" w:hint="cs"/>
        <w:rtl/>
      </w:rPr>
      <w:t>‏</w:t>
    </w:r>
    <w:r w:rsidR="00A22139">
      <w:rPr>
        <w:rFonts w:hint="cs"/>
        <w:rtl/>
      </w:rPr>
      <w:t>י</w:t>
    </w:r>
    <w:r w:rsidR="00A22139">
      <w:rPr>
        <w:rtl/>
      </w:rPr>
      <w:t>"ז אייר תשפ"ב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6B"/>
    <w:rsid w:val="00147567"/>
    <w:rsid w:val="001540BE"/>
    <w:rsid w:val="00160C91"/>
    <w:rsid w:val="001C5664"/>
    <w:rsid w:val="001F3942"/>
    <w:rsid w:val="002327E5"/>
    <w:rsid w:val="002629E1"/>
    <w:rsid w:val="00264875"/>
    <w:rsid w:val="0028056B"/>
    <w:rsid w:val="00345EB8"/>
    <w:rsid w:val="003B0637"/>
    <w:rsid w:val="003B1F41"/>
    <w:rsid w:val="003D0236"/>
    <w:rsid w:val="00446D94"/>
    <w:rsid w:val="004505AB"/>
    <w:rsid w:val="0047615F"/>
    <w:rsid w:val="004875C1"/>
    <w:rsid w:val="004A522A"/>
    <w:rsid w:val="004D146B"/>
    <w:rsid w:val="00571207"/>
    <w:rsid w:val="006140F2"/>
    <w:rsid w:val="006856EA"/>
    <w:rsid w:val="00696165"/>
    <w:rsid w:val="006A3F94"/>
    <w:rsid w:val="006F31E6"/>
    <w:rsid w:val="0072639B"/>
    <w:rsid w:val="00734E01"/>
    <w:rsid w:val="00790E55"/>
    <w:rsid w:val="008361F6"/>
    <w:rsid w:val="008767CF"/>
    <w:rsid w:val="00882D6B"/>
    <w:rsid w:val="008A3634"/>
    <w:rsid w:val="00933C89"/>
    <w:rsid w:val="00970B07"/>
    <w:rsid w:val="00971C95"/>
    <w:rsid w:val="009E0B24"/>
    <w:rsid w:val="009E3F02"/>
    <w:rsid w:val="009F2224"/>
    <w:rsid w:val="00A22139"/>
    <w:rsid w:val="00A71461"/>
    <w:rsid w:val="00B3202C"/>
    <w:rsid w:val="00B74FDC"/>
    <w:rsid w:val="00BC3AC1"/>
    <w:rsid w:val="00BE6DF8"/>
    <w:rsid w:val="00C461A6"/>
    <w:rsid w:val="00C72C1F"/>
    <w:rsid w:val="00CC01EC"/>
    <w:rsid w:val="00CD346A"/>
    <w:rsid w:val="00CD34AC"/>
    <w:rsid w:val="00CF2F0C"/>
    <w:rsid w:val="00DE251B"/>
    <w:rsid w:val="00E02032"/>
    <w:rsid w:val="00E54B2D"/>
    <w:rsid w:val="00E67C1E"/>
    <w:rsid w:val="00F369AC"/>
    <w:rsid w:val="00F70164"/>
    <w:rsid w:val="00F755E1"/>
    <w:rsid w:val="00FA1068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521"/>
  <w15:chartTrackingRefBased/>
  <w15:docId w15:val="{0A3F45CA-60DD-4A16-9524-5B7DA13C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  <w:style w:type="character" w:styleId="Hyperlink">
    <w:name w:val="Hyperlink"/>
    <w:basedOn w:val="a0"/>
    <w:uiPriority w:val="99"/>
    <w:unhideWhenUsed/>
    <w:rsid w:val="00FB4FD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B4FD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F2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421</Words>
  <Characters>2110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24</cp:revision>
  <dcterms:created xsi:type="dcterms:W3CDTF">2022-05-18T05:51:00Z</dcterms:created>
  <dcterms:modified xsi:type="dcterms:W3CDTF">2022-05-18T12:08:00Z</dcterms:modified>
</cp:coreProperties>
</file>