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0BB0" w14:textId="17E15E27" w:rsidR="0055573E" w:rsidRDefault="0055573E" w:rsidP="0055573E">
      <w:pPr>
        <w:pStyle w:val="1"/>
        <w:rPr>
          <w:rtl/>
        </w:rPr>
      </w:pPr>
      <w:r>
        <w:rPr>
          <w:rFonts w:hint="cs"/>
          <w:rtl/>
        </w:rPr>
        <w:t xml:space="preserve">הלכות פורים </w:t>
      </w:r>
      <w:r>
        <w:rPr>
          <w:rtl/>
        </w:rPr>
        <w:t>–</w:t>
      </w:r>
      <w:r>
        <w:rPr>
          <w:rFonts w:hint="cs"/>
          <w:rtl/>
        </w:rPr>
        <w:t xml:space="preserve"> הרב אריה</w:t>
      </w:r>
    </w:p>
    <w:p w14:paraId="5D83ED26" w14:textId="1890F7BB" w:rsidR="00975B36" w:rsidRDefault="00562E1E" w:rsidP="001D1CAE">
      <w:pPr>
        <w:rPr>
          <w:rtl/>
        </w:rPr>
      </w:pPr>
      <w:r>
        <w:rPr>
          <w:rFonts w:hint="cs"/>
          <w:rtl/>
        </w:rPr>
        <w:t xml:space="preserve">מקרא מגילה </w:t>
      </w:r>
      <w:r w:rsidR="001D1CAE">
        <w:rPr>
          <w:rFonts w:hint="cs"/>
          <w:rtl/>
        </w:rPr>
        <w:t xml:space="preserve">– </w:t>
      </w:r>
      <w:r>
        <w:rPr>
          <w:rFonts w:hint="cs"/>
          <w:rtl/>
        </w:rPr>
        <w:t>המצווה היא גם בערב וגם בבוקר.</w:t>
      </w:r>
      <w:r w:rsidR="001D1CAE">
        <w:rPr>
          <w:rFonts w:hint="cs"/>
          <w:rtl/>
        </w:rPr>
        <w:t xml:space="preserve"> </w:t>
      </w:r>
      <w:r>
        <w:rPr>
          <w:rFonts w:hint="cs"/>
          <w:rtl/>
        </w:rPr>
        <w:t>יש איסור אכילה לפני קריאת מגילה,</w:t>
      </w:r>
      <w:r w:rsidR="005F3578">
        <w:rPr>
          <w:rFonts w:hint="cs"/>
          <w:rtl/>
        </w:rPr>
        <w:t xml:space="preserve"> בגלל פרסום הנס</w:t>
      </w:r>
      <w:r w:rsidR="005F3578">
        <w:rPr>
          <w:rStyle w:val="ab"/>
          <w:rtl/>
        </w:rPr>
        <w:footnoteReference w:id="1"/>
      </w:r>
      <w:r w:rsidR="005F3578">
        <w:rPr>
          <w:rFonts w:hint="cs"/>
          <w:rtl/>
        </w:rPr>
        <w:t>.</w:t>
      </w:r>
      <w:r w:rsidR="001D1CAE">
        <w:rPr>
          <w:rFonts w:hint="cs"/>
          <w:rtl/>
        </w:rPr>
        <w:t xml:space="preserve"> </w:t>
      </w:r>
      <w:r>
        <w:rPr>
          <w:rFonts w:hint="cs"/>
          <w:rtl/>
        </w:rPr>
        <w:t>גם ביום אסור לאכול מעלות השחר</w:t>
      </w:r>
      <w:r w:rsidR="00821C23">
        <w:rPr>
          <w:rFonts w:hint="cs"/>
          <w:rtl/>
        </w:rPr>
        <w:t>, אבל</w:t>
      </w:r>
      <w:r>
        <w:rPr>
          <w:rFonts w:hint="cs"/>
          <w:rtl/>
        </w:rPr>
        <w:t xml:space="preserve"> אישה ששומעת קריאת מגילה אחר הצהריים לא צריכה לצום.</w:t>
      </w:r>
      <w:r w:rsidR="001D1CAE">
        <w:rPr>
          <w:rFonts w:hint="cs"/>
          <w:rtl/>
        </w:rPr>
        <w:t xml:space="preserve"> </w:t>
      </w:r>
      <w:r w:rsidR="00822CAA">
        <w:rPr>
          <w:rFonts w:hint="cs"/>
          <w:rtl/>
        </w:rPr>
        <w:t>אם לאדם קשה מאוד אפשר לאכול פחות מכביצה, אכילת עראי, או פירות ושתייה</w:t>
      </w:r>
      <w:r w:rsidR="00821C23">
        <w:rPr>
          <w:rFonts w:hint="cs"/>
          <w:rtl/>
        </w:rPr>
        <w:t>.</w:t>
      </w:r>
      <w:r w:rsidR="001D1CAE">
        <w:rPr>
          <w:rFonts w:hint="cs"/>
          <w:rtl/>
        </w:rPr>
        <w:t xml:space="preserve"> </w:t>
      </w:r>
      <w:r w:rsidR="00DC5F43">
        <w:rPr>
          <w:rFonts w:hint="cs"/>
          <w:rtl/>
        </w:rPr>
        <w:t xml:space="preserve">חובה לקרוא את המגילה כסדרה, אם אדם </w:t>
      </w:r>
      <w:r w:rsidR="00D76C29">
        <w:rPr>
          <w:rFonts w:hint="cs"/>
          <w:rtl/>
        </w:rPr>
        <w:t xml:space="preserve">לא שמע </w:t>
      </w:r>
      <w:r w:rsidR="00DC5F43">
        <w:rPr>
          <w:rFonts w:hint="cs"/>
          <w:rtl/>
        </w:rPr>
        <w:t xml:space="preserve">מילה אחת </w:t>
      </w:r>
      <w:r w:rsidR="00DC5F43">
        <w:rPr>
          <w:rtl/>
        </w:rPr>
        <w:t>–</w:t>
      </w:r>
      <w:r w:rsidR="00DC5F43">
        <w:rPr>
          <w:rFonts w:hint="cs"/>
          <w:rtl/>
        </w:rPr>
        <w:t xml:space="preserve"> לא יצא יד"ח.</w:t>
      </w:r>
      <w:r w:rsidR="00975B36">
        <w:rPr>
          <w:rFonts w:hint="cs"/>
          <w:rtl/>
        </w:rPr>
        <w:t xml:space="preserve"> אם הוסחה תשומת ליבו ושמע אז כן יוצא יד"ח.</w:t>
      </w:r>
      <w:r w:rsidR="001D1CAE">
        <w:rPr>
          <w:rFonts w:hint="cs"/>
          <w:rtl/>
        </w:rPr>
        <w:t xml:space="preserve"> </w:t>
      </w:r>
      <w:r w:rsidR="00975B36">
        <w:rPr>
          <w:rFonts w:hint="cs"/>
          <w:rtl/>
        </w:rPr>
        <w:t xml:space="preserve">צריך לקרוא מקלף, אבל </w:t>
      </w:r>
      <w:r w:rsidR="00FE2F49">
        <w:rPr>
          <w:rFonts w:hint="cs"/>
          <w:rtl/>
        </w:rPr>
        <w:t xml:space="preserve">אם אדם מפספס מילה יכול </w:t>
      </w:r>
      <w:r w:rsidR="00975B36">
        <w:rPr>
          <w:rFonts w:hint="cs"/>
          <w:rtl/>
        </w:rPr>
        <w:t>להשלים גם מחומש וגם בע"</w:t>
      </w:r>
      <w:r w:rsidR="00FE2F49">
        <w:rPr>
          <w:rFonts w:hint="cs"/>
          <w:rtl/>
        </w:rPr>
        <w:t>פ.</w:t>
      </w:r>
    </w:p>
    <w:p w14:paraId="55BF381E" w14:textId="01C2CC59" w:rsidR="008305B9" w:rsidRDefault="008305B9" w:rsidP="008A71A0">
      <w:pPr>
        <w:rPr>
          <w:rtl/>
        </w:rPr>
      </w:pPr>
      <w:r>
        <w:rPr>
          <w:rFonts w:hint="cs"/>
          <w:rtl/>
        </w:rPr>
        <w:t xml:space="preserve">מחיית עמלק </w:t>
      </w:r>
      <w:r>
        <w:rPr>
          <w:rtl/>
        </w:rPr>
        <w:t>–</w:t>
      </w:r>
      <w:r>
        <w:rPr>
          <w:rFonts w:hint="cs"/>
          <w:rtl/>
        </w:rPr>
        <w:t xml:space="preserve"> להרעיש ביד או ברגל אבל לא בפה.</w:t>
      </w:r>
      <w:r w:rsidR="008A71A0">
        <w:rPr>
          <w:rFonts w:hint="cs"/>
          <w:rtl/>
        </w:rPr>
        <w:t xml:space="preserve"> </w:t>
      </w:r>
      <w:r>
        <w:rPr>
          <w:rFonts w:hint="cs"/>
          <w:rtl/>
        </w:rPr>
        <w:t>המנהג בישיבה הוא שכל אחד אומר לעצמו את עשרת בני המן בנשימה אחת, יש על זה מחלוקת</w:t>
      </w:r>
      <w:r w:rsidR="0067722B">
        <w:rPr>
          <w:rStyle w:val="ab"/>
          <w:rtl/>
        </w:rPr>
        <w:footnoteReference w:id="2"/>
      </w:r>
      <w:r>
        <w:rPr>
          <w:rFonts w:hint="cs"/>
          <w:rtl/>
        </w:rPr>
        <w:t>.</w:t>
      </w:r>
    </w:p>
    <w:p w14:paraId="46E5BCB1" w14:textId="1B156886" w:rsidR="00A14272" w:rsidRDefault="0067722B" w:rsidP="008A71A0">
      <w:pPr>
        <w:rPr>
          <w:rtl/>
        </w:rPr>
      </w:pPr>
      <w:r>
        <w:rPr>
          <w:rFonts w:hint="cs"/>
          <w:rtl/>
        </w:rPr>
        <w:t xml:space="preserve">ברכת שהחיינו </w:t>
      </w:r>
      <w:r w:rsidR="00E348CD">
        <w:rPr>
          <w:rFonts w:hint="cs"/>
          <w:rtl/>
        </w:rPr>
        <w:t xml:space="preserve">לפני </w:t>
      </w:r>
      <w:r>
        <w:rPr>
          <w:rFonts w:hint="cs"/>
          <w:rtl/>
        </w:rPr>
        <w:t xml:space="preserve">קריאת מגילה </w:t>
      </w:r>
      <w:r>
        <w:rPr>
          <w:rtl/>
        </w:rPr>
        <w:t>–</w:t>
      </w:r>
      <w:r>
        <w:rPr>
          <w:rFonts w:hint="cs"/>
          <w:rtl/>
        </w:rPr>
        <w:t xml:space="preserve"> האשכנזים מברכים גם בלילה וגם ביום, והספרדים רק בלילה.</w:t>
      </w:r>
      <w:r w:rsidR="008A71A0">
        <w:rPr>
          <w:rFonts w:hint="cs"/>
          <w:rtl/>
        </w:rPr>
        <w:t xml:space="preserve"> </w:t>
      </w:r>
      <w:r w:rsidR="0028541A">
        <w:rPr>
          <w:rFonts w:hint="cs"/>
          <w:rtl/>
        </w:rPr>
        <w:t xml:space="preserve">הסיבה לאשכנזים </w:t>
      </w:r>
      <w:r w:rsidR="0028541A">
        <w:rPr>
          <w:rtl/>
        </w:rPr>
        <w:t>–</w:t>
      </w:r>
      <w:r w:rsidR="0028541A">
        <w:rPr>
          <w:rFonts w:hint="cs"/>
          <w:rtl/>
        </w:rPr>
        <w:t xml:space="preserve"> הברכה ביום זה שהחיינו על פרסום הנס, ובלילה זה שהחיינו על הצרות שהיינו בהן והקב"ה הצילנו מהן</w:t>
      </w:r>
      <w:r w:rsidR="00A14272">
        <w:rPr>
          <w:rFonts w:hint="cs"/>
          <w:rtl/>
        </w:rPr>
        <w:t>.</w:t>
      </w:r>
    </w:p>
    <w:p w14:paraId="26A1E22A" w14:textId="101D29C9" w:rsidR="00E63BB1" w:rsidRDefault="00A14272" w:rsidP="008A71A0">
      <w:pPr>
        <w:rPr>
          <w:rtl/>
        </w:rPr>
      </w:pPr>
      <w:r>
        <w:rPr>
          <w:rFonts w:hint="cs"/>
          <w:rtl/>
        </w:rPr>
        <w:t xml:space="preserve">מתנות לאביונים </w:t>
      </w:r>
      <w:r>
        <w:rPr>
          <w:rtl/>
        </w:rPr>
        <w:t>–</w:t>
      </w:r>
      <w:r>
        <w:rPr>
          <w:rFonts w:hint="cs"/>
          <w:rtl/>
        </w:rPr>
        <w:t xml:space="preserve"> כולם מגיל מצוות מחוייבים בזה, המצווה היא לפחות 2 מתנות, אחת לכל אביון.</w:t>
      </w:r>
      <w:r w:rsidR="008A71A0">
        <w:rPr>
          <w:rFonts w:hint="cs"/>
          <w:rtl/>
        </w:rPr>
        <w:t xml:space="preserve"> </w:t>
      </w:r>
      <w:r>
        <w:rPr>
          <w:rFonts w:hint="cs"/>
          <w:rtl/>
        </w:rPr>
        <w:t>אדם יכול להביא מתנות לאביונים גם בשביל אנשים אחרים.</w:t>
      </w:r>
      <w:r w:rsidR="008A71A0">
        <w:rPr>
          <w:rFonts w:hint="cs"/>
          <w:rtl/>
        </w:rPr>
        <w:t xml:space="preserve"> </w:t>
      </w:r>
      <w:r>
        <w:rPr>
          <w:rFonts w:hint="cs"/>
          <w:rtl/>
        </w:rPr>
        <w:t>לפי הספרדים רבע כיכר, לפי</w:t>
      </w:r>
      <w:r w:rsidR="00D70D53">
        <w:rPr>
          <w:rFonts w:hint="cs"/>
          <w:rtl/>
        </w:rPr>
        <w:t xml:space="preserve"> ה</w:t>
      </w:r>
      <w:r>
        <w:rPr>
          <w:rFonts w:hint="cs"/>
          <w:rtl/>
        </w:rPr>
        <w:t>אשכנזים זה פרוטה.</w:t>
      </w:r>
      <w:r w:rsidR="008A71A0">
        <w:rPr>
          <w:rFonts w:hint="cs"/>
          <w:rtl/>
        </w:rPr>
        <w:t xml:space="preserve"> </w:t>
      </w:r>
      <w:r w:rsidR="00E63BB1">
        <w:rPr>
          <w:rFonts w:hint="cs"/>
          <w:rtl/>
        </w:rPr>
        <w:t>אפילו עני חייב במתנות לאביונים.</w:t>
      </w:r>
    </w:p>
    <w:p w14:paraId="480CEDED" w14:textId="3F126F89" w:rsidR="00E63BB1" w:rsidRDefault="00E63BB1" w:rsidP="00A14272">
      <w:pPr>
        <w:rPr>
          <w:rtl/>
        </w:rPr>
      </w:pPr>
      <w:r>
        <w:rPr>
          <w:rFonts w:hint="cs"/>
          <w:rtl/>
        </w:rPr>
        <w:t>זכר למחצית השקל</w:t>
      </w:r>
      <w:r w:rsidR="008A71A0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</w:t>
      </w:r>
      <w:r w:rsidR="00787EE1">
        <w:rPr>
          <w:rFonts w:hint="cs"/>
          <w:rtl/>
        </w:rPr>
        <w:t xml:space="preserve">נהוג לתת לפני פורים, </w:t>
      </w:r>
      <w:r>
        <w:rPr>
          <w:rFonts w:hint="cs"/>
          <w:rtl/>
        </w:rPr>
        <w:t>אצל אשכנזים זה שקל וחצי, אצל ספרדים זה בסביבות ה30 שקלים.</w:t>
      </w:r>
    </w:p>
    <w:p w14:paraId="3DE02807" w14:textId="206AA357" w:rsidR="00FF7C6F" w:rsidRDefault="00E63BB1" w:rsidP="008F445C">
      <w:pPr>
        <w:rPr>
          <w:rtl/>
        </w:rPr>
      </w:pPr>
      <w:r>
        <w:rPr>
          <w:rFonts w:hint="cs"/>
          <w:rtl/>
        </w:rPr>
        <w:t xml:space="preserve">משלוח מנות </w:t>
      </w:r>
      <w:r>
        <w:rPr>
          <w:rtl/>
        </w:rPr>
        <w:t>–</w:t>
      </w:r>
      <w:r>
        <w:rPr>
          <w:rFonts w:hint="cs"/>
          <w:rtl/>
        </w:rPr>
        <w:t xml:space="preserve"> מצווה על כולם מגיל מצוות.</w:t>
      </w:r>
      <w:r w:rsidR="008A71A0">
        <w:rPr>
          <w:rFonts w:hint="cs"/>
          <w:rtl/>
        </w:rPr>
        <w:t xml:space="preserve"> יש מחלוקת </w:t>
      </w:r>
      <w:r w:rsidR="00DD7A40">
        <w:rPr>
          <w:rFonts w:hint="cs"/>
          <w:rtl/>
        </w:rPr>
        <w:t xml:space="preserve">באחרונים </w:t>
      </w:r>
      <w:r w:rsidR="008A71A0">
        <w:rPr>
          <w:rFonts w:hint="cs"/>
          <w:rtl/>
        </w:rPr>
        <w:t>האם עיקר המצווה היא שלמקבל יהיה סעודה, או שהשולח יראה את אהבתו למקבל.</w:t>
      </w:r>
      <w:r w:rsidR="00DD7A40">
        <w:rPr>
          <w:rFonts w:hint="cs"/>
          <w:rtl/>
        </w:rPr>
        <w:t xml:space="preserve"> נפק"מ לדוגמה זה אם במשלוח לא יהיה אוכל.</w:t>
      </w:r>
      <w:r w:rsidR="001D1CAE">
        <w:rPr>
          <w:rFonts w:hint="cs"/>
          <w:rtl/>
        </w:rPr>
        <w:t xml:space="preserve"> צריך לפחות משלוח אחד שיש בו שתי מנות (לדוגמה: פלאפל ובקבוק שתייה).</w:t>
      </w:r>
      <w:r w:rsidR="00B11A15">
        <w:rPr>
          <w:rFonts w:hint="cs"/>
          <w:rtl/>
        </w:rPr>
        <w:t xml:space="preserve"> האם מותר להביא במשלוח מנות פירות שביעית? כיוון שאדם חייב להביא משלוח מנות, זה כמו לפרוע חוב ע"י פירות שביעית ולמעשה פוסקים</w:t>
      </w:r>
      <w:r w:rsidR="00B11A15">
        <w:rPr>
          <w:rStyle w:val="ab"/>
          <w:rtl/>
        </w:rPr>
        <w:footnoteReference w:id="3"/>
      </w:r>
      <w:r w:rsidR="00B11A15">
        <w:rPr>
          <w:rFonts w:hint="cs"/>
          <w:rtl/>
        </w:rPr>
        <w:t xml:space="preserve"> שאפשר לעשות זאת.</w:t>
      </w:r>
      <w:r w:rsidR="008F445C">
        <w:rPr>
          <w:rFonts w:hint="cs"/>
          <w:rtl/>
        </w:rPr>
        <w:t xml:space="preserve"> אבֵל לא מקבל משלוח מנות, אבל אפשר להביא למשפחתו. אם אדם רואה את המשלוח שהביאו לו רק אחרי פורים, השולח לא יוצא יד"ח (אם המקבל יודע שהוא קיבל</w:t>
      </w:r>
      <w:r w:rsidR="00A226B3">
        <w:rPr>
          <w:rFonts w:hint="cs"/>
          <w:rtl/>
        </w:rPr>
        <w:t xml:space="preserve"> ועדיין לא קיבל בפועל</w:t>
      </w:r>
      <w:r w:rsidR="008F445C">
        <w:rPr>
          <w:rFonts w:hint="cs"/>
          <w:rtl/>
        </w:rPr>
        <w:t>, זה מספיק).</w:t>
      </w:r>
    </w:p>
    <w:p w14:paraId="360901F2" w14:textId="480C3C88" w:rsidR="00D9417D" w:rsidRDefault="00D9417D" w:rsidP="008F445C">
      <w:pPr>
        <w:rPr>
          <w:rtl/>
        </w:rPr>
      </w:pPr>
      <w:r>
        <w:rPr>
          <w:rFonts w:hint="cs"/>
          <w:rtl/>
        </w:rPr>
        <w:t>סעודת פורים – המצווה חלה ביום, עד חצות.</w:t>
      </w:r>
    </w:p>
    <w:p w14:paraId="187B0AC5" w14:textId="40656082" w:rsidR="00D9417D" w:rsidRDefault="00D9417D" w:rsidP="008F445C">
      <w:pPr>
        <w:rPr>
          <w:rtl/>
        </w:rPr>
      </w:pPr>
      <w:r>
        <w:rPr>
          <w:rFonts w:hint="cs"/>
          <w:rtl/>
        </w:rPr>
        <w:t>יש מצוות שמחה גם בי"ד וגם בט"ו.</w:t>
      </w:r>
    </w:p>
    <w:p w14:paraId="0C3439CA" w14:textId="2C22D164" w:rsidR="00D9417D" w:rsidRDefault="00870BCE" w:rsidP="008F445C">
      <w:pPr>
        <w:rPr>
          <w:rtl/>
        </w:rPr>
      </w:pPr>
      <w:r>
        <w:rPr>
          <w:rFonts w:hint="cs"/>
          <w:rtl/>
        </w:rPr>
        <w:t>בברכת המזון אומרים על הניסים גם אם זה אחרי צאת החג.</w:t>
      </w:r>
    </w:p>
    <w:p w14:paraId="4EC7B754" w14:textId="2A04AC4B" w:rsidR="00645F9F" w:rsidRDefault="00645F9F" w:rsidP="008F445C">
      <w:pPr>
        <w:rPr>
          <w:rFonts w:hint="cs"/>
          <w:rtl/>
        </w:rPr>
      </w:pPr>
      <w:r>
        <w:rPr>
          <w:rFonts w:hint="cs"/>
          <w:rtl/>
        </w:rPr>
        <w:t>מותר להתפלל מבושם, אבל עדיף שלא להתפלל שיכור.</w:t>
      </w:r>
    </w:p>
    <w:sectPr w:rsidR="00645F9F" w:rsidSect="00C461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9BA68" w14:textId="77777777" w:rsidR="00EC3946" w:rsidRDefault="00EC3946" w:rsidP="00822CAA">
      <w:pPr>
        <w:spacing w:after="0"/>
      </w:pPr>
      <w:r>
        <w:separator/>
      </w:r>
    </w:p>
  </w:endnote>
  <w:endnote w:type="continuationSeparator" w:id="0">
    <w:p w14:paraId="278ADE0E" w14:textId="77777777" w:rsidR="00EC3946" w:rsidRDefault="00EC3946" w:rsidP="00822C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cular On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Guttman Keren">
    <w:panose1 w:val="00000400000000000000"/>
    <w:charset w:val="B1"/>
    <w:family w:val="auto"/>
    <w:pitch w:val="variable"/>
    <w:sig w:usb0="00000801" w:usb1="40000000" w:usb2="00000000" w:usb3="00000000" w:csb0="00000020" w:csb1="00000000"/>
  </w:font>
  <w:font w:name="Heebo Medium">
    <w:panose1 w:val="00000600000000000000"/>
    <w:charset w:val="00"/>
    <w:family w:val="auto"/>
    <w:pitch w:val="variable"/>
    <w:sig w:usb0="00000803" w:usb1="40000001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ez On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Shofar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727F1" w14:textId="77777777" w:rsidR="00EC3946" w:rsidRDefault="00EC3946" w:rsidP="00822CAA">
      <w:pPr>
        <w:spacing w:after="0"/>
      </w:pPr>
      <w:r>
        <w:separator/>
      </w:r>
    </w:p>
  </w:footnote>
  <w:footnote w:type="continuationSeparator" w:id="0">
    <w:p w14:paraId="34BCCDF4" w14:textId="77777777" w:rsidR="00EC3946" w:rsidRDefault="00EC3946" w:rsidP="00822CAA">
      <w:pPr>
        <w:spacing w:after="0"/>
      </w:pPr>
      <w:r>
        <w:continuationSeparator/>
      </w:r>
    </w:p>
  </w:footnote>
  <w:footnote w:id="1">
    <w:p w14:paraId="35D03FD7" w14:textId="0C86E7ED" w:rsidR="005F3578" w:rsidRDefault="005F3578">
      <w:pPr>
        <w:pStyle w:val="a5"/>
        <w:rPr>
          <w:rFonts w:hint="cs"/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הרמ"א בסימן תרצ"ב</w:t>
      </w:r>
    </w:p>
  </w:footnote>
  <w:footnote w:id="2">
    <w:p w14:paraId="5F811EA6" w14:textId="6D0F27B0" w:rsidR="0067722B" w:rsidRDefault="0067722B">
      <w:pPr>
        <w:pStyle w:val="a5"/>
        <w:rPr>
          <w:rFonts w:hint="cs"/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החיי אדם והמשנ"ב אומרים שלא חובה</w:t>
      </w:r>
    </w:p>
  </w:footnote>
  <w:footnote w:id="3">
    <w:p w14:paraId="7EFACD68" w14:textId="2CA8E791" w:rsidR="00B11A15" w:rsidRDefault="00B11A15">
      <w:pPr>
        <w:pStyle w:val="a5"/>
        <w:rPr>
          <w:rFonts w:hint="cs"/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הגרש"ז אוירבעך והרב אלישיב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818AD" w14:textId="5E341D89" w:rsidR="00822CAA" w:rsidRDefault="00822CAA">
    <w:pPr>
      <w:pStyle w:val="a7"/>
    </w:pPr>
    <w:r>
      <w:rPr>
        <w:rFonts w:hint="cs"/>
        <w:rtl/>
      </w:rPr>
      <w:t>בס"ד</w:t>
    </w:r>
    <w:r>
      <w:rPr>
        <w:rtl/>
      </w:rPr>
      <w:ptab w:relativeTo="margin" w:alignment="right" w:leader="none"/>
    </w:r>
    <w:r>
      <w:rPr>
        <w:rtl/>
      </w:rPr>
      <w:fldChar w:fldCharType="begin"/>
    </w:r>
    <w:r>
      <w:rPr>
        <w:rtl/>
      </w:rPr>
      <w:instrText xml:space="preserve"> </w:instrText>
    </w:r>
    <w:r>
      <w:rPr>
        <w:rFonts w:hint="cs"/>
      </w:rPr>
      <w:instrText>DATE</w:instrText>
    </w:r>
    <w:r>
      <w:rPr>
        <w:rFonts w:hint="cs"/>
        <w:rtl/>
      </w:rPr>
      <w:instrText xml:space="preserve"> \@ "</w:instrText>
    </w:r>
    <w:r>
      <w:rPr>
        <w:rFonts w:hint="cs"/>
      </w:rPr>
      <w:instrText>dd MMMM yyyy" \h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Fonts w:ascii="Times New Roman" w:hAnsi="Times New Roman" w:cs="Times New Roman" w:hint="cs"/>
        <w:noProof/>
        <w:rtl/>
      </w:rPr>
      <w:t>‏</w:t>
    </w:r>
    <w:r>
      <w:rPr>
        <w:rFonts w:hint="cs"/>
        <w:noProof/>
        <w:rtl/>
      </w:rPr>
      <w:t>י</w:t>
    </w:r>
    <w:r>
      <w:rPr>
        <w:noProof/>
        <w:rtl/>
      </w:rPr>
      <w:t>"</w:t>
    </w:r>
    <w:r>
      <w:rPr>
        <w:rFonts w:hint="cs"/>
        <w:noProof/>
        <w:rtl/>
      </w:rPr>
      <w:t>ב</w:t>
    </w:r>
    <w:r>
      <w:rPr>
        <w:noProof/>
        <w:rtl/>
      </w:rPr>
      <w:t xml:space="preserve"> </w:t>
    </w:r>
    <w:r>
      <w:rPr>
        <w:rFonts w:hint="cs"/>
        <w:noProof/>
        <w:rtl/>
      </w:rPr>
      <w:t>אדר</w:t>
    </w:r>
    <w:r>
      <w:rPr>
        <w:noProof/>
        <w:rtl/>
      </w:rPr>
      <w:t xml:space="preserve"> </w:t>
    </w:r>
    <w:r>
      <w:rPr>
        <w:rFonts w:hint="cs"/>
        <w:noProof/>
        <w:rtl/>
      </w:rPr>
      <w:t>ב</w:t>
    </w:r>
    <w:r>
      <w:rPr>
        <w:noProof/>
        <w:rtl/>
      </w:rPr>
      <w:t xml:space="preserve"> </w:t>
    </w:r>
    <w:r>
      <w:rPr>
        <w:rFonts w:hint="cs"/>
        <w:noProof/>
        <w:rtl/>
      </w:rPr>
      <w:t>תשפ</w:t>
    </w:r>
    <w:r>
      <w:rPr>
        <w:noProof/>
        <w:rtl/>
      </w:rPr>
      <w:t>"</w:t>
    </w:r>
    <w:r>
      <w:rPr>
        <w:rFonts w:hint="cs"/>
        <w:noProof/>
        <w:rtl/>
      </w:rPr>
      <w:t>ב</w:t>
    </w:r>
    <w:r>
      <w:rPr>
        <w:rtl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1E"/>
    <w:rsid w:val="00147567"/>
    <w:rsid w:val="001D1CAE"/>
    <w:rsid w:val="001F3942"/>
    <w:rsid w:val="00262FD5"/>
    <w:rsid w:val="00264875"/>
    <w:rsid w:val="0028541A"/>
    <w:rsid w:val="002F5A0A"/>
    <w:rsid w:val="00345EB8"/>
    <w:rsid w:val="0055573E"/>
    <w:rsid w:val="00562E1E"/>
    <w:rsid w:val="005F3578"/>
    <w:rsid w:val="006140F2"/>
    <w:rsid w:val="00645F9F"/>
    <w:rsid w:val="0067722B"/>
    <w:rsid w:val="006856EA"/>
    <w:rsid w:val="00696165"/>
    <w:rsid w:val="006F31E6"/>
    <w:rsid w:val="00734E01"/>
    <w:rsid w:val="00787EE1"/>
    <w:rsid w:val="00821C23"/>
    <w:rsid w:val="00822CAA"/>
    <w:rsid w:val="008305B9"/>
    <w:rsid w:val="00870BCE"/>
    <w:rsid w:val="008767CF"/>
    <w:rsid w:val="008A71A0"/>
    <w:rsid w:val="008F445C"/>
    <w:rsid w:val="00971C95"/>
    <w:rsid w:val="00975B36"/>
    <w:rsid w:val="009867F2"/>
    <w:rsid w:val="009E3F02"/>
    <w:rsid w:val="00A14272"/>
    <w:rsid w:val="00A226B3"/>
    <w:rsid w:val="00A518E3"/>
    <w:rsid w:val="00A71461"/>
    <w:rsid w:val="00B11A15"/>
    <w:rsid w:val="00B3202C"/>
    <w:rsid w:val="00C461A6"/>
    <w:rsid w:val="00D70D53"/>
    <w:rsid w:val="00D76C29"/>
    <w:rsid w:val="00D9417D"/>
    <w:rsid w:val="00DA67A2"/>
    <w:rsid w:val="00DC5F43"/>
    <w:rsid w:val="00DD7A40"/>
    <w:rsid w:val="00DE251B"/>
    <w:rsid w:val="00E348CD"/>
    <w:rsid w:val="00E63BB1"/>
    <w:rsid w:val="00EC3946"/>
    <w:rsid w:val="00FE2F49"/>
    <w:rsid w:val="00FF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19EB"/>
  <w15:chartTrackingRefBased/>
  <w15:docId w15:val="{D41F9DF0-DF24-4518-B677-C9BE2118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dassah Friedlaender" w:eastAsiaTheme="minorHAnsi" w:hAnsi="Hadassah Friedlaender" w:cs="Hadassah Friedlaender"/>
        <w:sz w:val="22"/>
        <w:szCs w:val="22"/>
        <w:lang w:val="en-US" w:eastAsia="en-US" w:bidi="he-IL"/>
      </w:rPr>
    </w:rPrDefault>
    <w:pPrDefault>
      <w:pPr>
        <w:bidi/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02C"/>
  </w:style>
  <w:style w:type="paragraph" w:styleId="1">
    <w:name w:val="heading 1"/>
    <w:basedOn w:val="a"/>
    <w:next w:val="a"/>
    <w:link w:val="10"/>
    <w:uiPriority w:val="9"/>
    <w:qFormat/>
    <w:rsid w:val="00DE251B"/>
    <w:pPr>
      <w:outlineLvl w:val="0"/>
    </w:pPr>
    <w:rPr>
      <w:rFonts w:ascii="Secular One" w:hAnsi="Secular One" w:cs="Guttman Keren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B3202C"/>
    <w:pPr>
      <w:outlineLvl w:val="1"/>
    </w:pPr>
    <w:rPr>
      <w:rFonts w:ascii="Heebo Medium" w:hAnsi="Heebo Medium" w:cstheme="min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8"/>
    <w:qFormat/>
    <w:rsid w:val="00B3202C"/>
    <w:pPr>
      <w:jc w:val="center"/>
    </w:pPr>
    <w:rPr>
      <w:rFonts w:ascii="Suez One" w:hAnsi="Suez One" w:cs="Suez One"/>
      <w:sz w:val="72"/>
      <w:szCs w:val="72"/>
    </w:rPr>
  </w:style>
  <w:style w:type="character" w:customStyle="1" w:styleId="a4">
    <w:name w:val="כותרת טקסט תו"/>
    <w:basedOn w:val="a0"/>
    <w:link w:val="a3"/>
    <w:uiPriority w:val="8"/>
    <w:rsid w:val="00B3202C"/>
    <w:rPr>
      <w:rFonts w:ascii="Suez One" w:hAnsi="Suez One" w:cs="Suez One"/>
      <w:sz w:val="72"/>
      <w:szCs w:val="72"/>
    </w:rPr>
  </w:style>
  <w:style w:type="character" w:customStyle="1" w:styleId="10">
    <w:name w:val="כותרת 1 תו"/>
    <w:basedOn w:val="a0"/>
    <w:link w:val="1"/>
    <w:uiPriority w:val="9"/>
    <w:rsid w:val="00DE251B"/>
    <w:rPr>
      <w:rFonts w:ascii="Secular One" w:hAnsi="Secular One" w:cs="Guttman Keren"/>
      <w:sz w:val="44"/>
      <w:szCs w:val="44"/>
    </w:rPr>
  </w:style>
  <w:style w:type="character" w:customStyle="1" w:styleId="20">
    <w:name w:val="כותרת 2 תו"/>
    <w:basedOn w:val="a0"/>
    <w:link w:val="2"/>
    <w:uiPriority w:val="9"/>
    <w:rsid w:val="00B3202C"/>
    <w:rPr>
      <w:rFonts w:ascii="Heebo Medium" w:hAnsi="Heebo Medium" w:cstheme="minorBidi"/>
      <w:sz w:val="26"/>
      <w:szCs w:val="26"/>
    </w:rPr>
  </w:style>
  <w:style w:type="paragraph" w:styleId="a5">
    <w:name w:val="footnote text"/>
    <w:basedOn w:val="a"/>
    <w:link w:val="a6"/>
    <w:autoRedefine/>
    <w:uiPriority w:val="99"/>
    <w:unhideWhenUsed/>
    <w:rsid w:val="00264875"/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rsid w:val="00264875"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3202C"/>
  </w:style>
  <w:style w:type="character" w:customStyle="1" w:styleId="a8">
    <w:name w:val="כותרת עליונה תו"/>
    <w:basedOn w:val="a0"/>
    <w:link w:val="a7"/>
    <w:uiPriority w:val="99"/>
    <w:rsid w:val="00B3202C"/>
  </w:style>
  <w:style w:type="paragraph" w:styleId="a9">
    <w:name w:val="footer"/>
    <w:basedOn w:val="a7"/>
    <w:link w:val="aa"/>
    <w:uiPriority w:val="99"/>
    <w:unhideWhenUsed/>
    <w:rsid w:val="00B3202C"/>
  </w:style>
  <w:style w:type="character" w:customStyle="1" w:styleId="aa">
    <w:name w:val="כותרת תחתונה תו"/>
    <w:basedOn w:val="a0"/>
    <w:link w:val="a9"/>
    <w:uiPriority w:val="99"/>
    <w:rsid w:val="00B3202C"/>
  </w:style>
  <w:style w:type="character" w:styleId="ab">
    <w:name w:val="footnote reference"/>
    <w:basedOn w:val="a0"/>
    <w:uiPriority w:val="99"/>
    <w:semiHidden/>
    <w:unhideWhenUsed/>
    <w:rsid w:val="00B3202C"/>
    <w:rPr>
      <w:vertAlign w:val="superscript"/>
    </w:rPr>
  </w:style>
  <w:style w:type="character" w:styleId="ac">
    <w:name w:val="Strong"/>
    <w:aliases w:val="ציטוט."/>
    <w:uiPriority w:val="10"/>
    <w:qFormat/>
    <w:rsid w:val="00B3202C"/>
    <w:rPr>
      <w:rFonts w:ascii="Shofar" w:hAnsi="Shofar" w:cs="Guttman Keren"/>
    </w:rPr>
  </w:style>
  <w:style w:type="paragraph" w:styleId="ad">
    <w:name w:val="No Spacing"/>
    <w:uiPriority w:val="11"/>
    <w:rsid w:val="00B3202C"/>
    <w:pPr>
      <w:tabs>
        <w:tab w:val="center" w:pos="4153"/>
        <w:tab w:val="right" w:pos="8306"/>
      </w:tabs>
      <w:spacing w:after="0"/>
    </w:pPr>
    <w:rPr>
      <w:rFonts w:ascii="Heebo" w:hAnsi="Heebo"/>
    </w:rPr>
  </w:style>
  <w:style w:type="character" w:styleId="ae">
    <w:name w:val="Subtle Emphasis"/>
    <w:basedOn w:val="a0"/>
    <w:uiPriority w:val="19"/>
    <w:rsid w:val="00B3202C"/>
    <w:rPr>
      <w:i/>
      <w:iCs/>
      <w:color w:val="404040" w:themeColor="text1" w:themeTint="BF"/>
    </w:rPr>
  </w:style>
  <w:style w:type="paragraph" w:styleId="af">
    <w:name w:val="Quote"/>
    <w:basedOn w:val="a"/>
    <w:next w:val="a"/>
    <w:link w:val="af0"/>
    <w:autoRedefine/>
    <w:uiPriority w:val="29"/>
    <w:qFormat/>
    <w:rsid w:val="008767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ציטוט תו"/>
    <w:basedOn w:val="a0"/>
    <w:link w:val="af"/>
    <w:uiPriority w:val="29"/>
    <w:rsid w:val="008767CF"/>
    <w:rPr>
      <w:i/>
      <w:iCs/>
      <w:color w:val="404040" w:themeColor="text1" w:themeTint="BF"/>
    </w:rPr>
  </w:style>
  <w:style w:type="character" w:customStyle="1" w:styleId="af1">
    <w:name w:val="מודגש"/>
    <w:basedOn w:val="a0"/>
    <w:uiPriority w:val="1"/>
    <w:rsid w:val="006140F2"/>
    <w:rPr>
      <w:rFonts w:cs="Heebo Medium"/>
      <w:bCs w:val="0"/>
    </w:rPr>
  </w:style>
  <w:style w:type="paragraph" w:customStyle="1" w:styleId="af2">
    <w:name w:val="הערת שוליים"/>
    <w:basedOn w:val="a"/>
    <w:link w:val="af3"/>
    <w:qFormat/>
    <w:rsid w:val="00B3202C"/>
    <w:rPr>
      <w:szCs w:val="20"/>
    </w:rPr>
  </w:style>
  <w:style w:type="character" w:customStyle="1" w:styleId="af3">
    <w:name w:val="הערת שוליים תו"/>
    <w:basedOn w:val="a0"/>
    <w:link w:val="af2"/>
    <w:rsid w:val="00B3202C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300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33</cp:revision>
  <dcterms:created xsi:type="dcterms:W3CDTF">2022-03-15T15:31:00Z</dcterms:created>
  <dcterms:modified xsi:type="dcterms:W3CDTF">2022-03-15T16:00:00Z</dcterms:modified>
</cp:coreProperties>
</file>