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54B1" w14:textId="7782F302" w:rsidR="005A666A" w:rsidRDefault="009B194B" w:rsidP="005A666A">
      <w:pPr>
        <w:pStyle w:val="1"/>
        <w:rPr>
          <w:rtl/>
        </w:rPr>
      </w:pPr>
      <w:r>
        <w:rPr>
          <w:rFonts w:hint="cs"/>
          <w:rtl/>
        </w:rPr>
        <w:t>שיעור לפורים</w:t>
      </w:r>
      <w:r w:rsidR="005A666A">
        <w:rPr>
          <w:rFonts w:hint="cs"/>
          <w:rtl/>
        </w:rPr>
        <w:t xml:space="preserve"> </w:t>
      </w:r>
      <w:r>
        <w:rPr>
          <w:rFonts w:hint="cs"/>
          <w:rtl/>
        </w:rPr>
        <w:t>–</w:t>
      </w:r>
      <w:r w:rsidR="005A666A">
        <w:rPr>
          <w:rFonts w:hint="cs"/>
          <w:rtl/>
        </w:rPr>
        <w:t xml:space="preserve"> </w:t>
      </w:r>
      <w:r>
        <w:rPr>
          <w:rFonts w:hint="cs"/>
          <w:rtl/>
        </w:rPr>
        <w:t>הרב שכטר</w:t>
      </w:r>
    </w:p>
    <w:p w14:paraId="07DAEBFA" w14:textId="12A3DDE2" w:rsidR="005A666A" w:rsidRDefault="005A666A" w:rsidP="005A666A">
      <w:pPr>
        <w:pStyle w:val="1"/>
        <w:rPr>
          <w:rtl/>
        </w:rPr>
      </w:pPr>
      <w:r>
        <w:rPr>
          <w:rFonts w:hint="cs"/>
          <w:rtl/>
        </w:rPr>
        <w:t>הלכות מגילה וחנוכה לרמב"ם</w:t>
      </w:r>
    </w:p>
    <w:p w14:paraId="63C69D7C" w14:textId="7FA569DB" w:rsidR="009B194B" w:rsidRDefault="005A666A" w:rsidP="009B194B">
      <w:pPr>
        <w:rPr>
          <w:rtl/>
        </w:rPr>
      </w:pPr>
      <w:r>
        <w:rPr>
          <w:rFonts w:hint="cs"/>
          <w:rtl/>
        </w:rPr>
        <w:t xml:space="preserve">יש שתי מצוות עשה מדברי סופרים שאינן מן המנין </w:t>
      </w:r>
      <w:r>
        <w:rPr>
          <w:rtl/>
        </w:rPr>
        <w:t>–</w:t>
      </w:r>
      <w:r>
        <w:rPr>
          <w:rFonts w:hint="cs"/>
          <w:rtl/>
        </w:rPr>
        <w:t xml:space="preserve"> מגילה וחנוכה.</w:t>
      </w:r>
    </w:p>
    <w:p w14:paraId="7B4B8B33" w14:textId="77777777" w:rsidR="007874C1" w:rsidRDefault="005A666A" w:rsidP="0010621E">
      <w:pPr>
        <w:rPr>
          <w:rtl/>
        </w:rPr>
      </w:pPr>
      <w:r>
        <w:rPr>
          <w:rFonts w:hint="cs"/>
          <w:rtl/>
        </w:rPr>
        <w:t>הרמב"ם כותב</w:t>
      </w:r>
      <w:r w:rsidR="0010621E">
        <w:rPr>
          <w:rStyle w:val="ab"/>
          <w:rtl/>
        </w:rPr>
        <w:footnoteReference w:id="1"/>
      </w:r>
      <w:r>
        <w:rPr>
          <w:rFonts w:hint="cs"/>
          <w:rtl/>
        </w:rPr>
        <w:t xml:space="preserve">: </w:t>
      </w:r>
    </w:p>
    <w:p w14:paraId="5890D8F9" w14:textId="06D6D8E5" w:rsidR="005A666A" w:rsidRDefault="005A666A" w:rsidP="007874C1">
      <w:pPr>
        <w:ind w:left="720"/>
        <w:rPr>
          <w:rtl/>
        </w:rPr>
      </w:pPr>
      <w:r w:rsidRPr="005A666A">
        <w:rPr>
          <w:rtl/>
        </w:rPr>
        <w:t>הַכֹּל חַיָּבִין בִּקְרִיאָתָהּ: אֲנָשִׁים וְנָשִׁים וְגֵרִים וַעֲבָדִים מְשֻׁחְרָרִין. וּמְחַנְּכִין אֶת הַקְּטַנִּים לִקְרוֹתָהּ. וַאֲפִלּוּ כֹּהֲנִים בַּעֲבוֹדָתָם מְבַטְּלִין עֲבוֹדָתָם וּבָאִין לִשְׁמֹעַ מִקְרָא מְגִלָּה. וְכֵן מְבַטְּלִים תַּלְמוּד תּוֹרָה לְמִקְרָא מְגִלָּה; קַל וָחֹמֶר לִשְׁאָר מִצְווֹת שֶׁלַּתּוֹרָה, כֻּלָּן נִדְחִין מִפְּנֵי מִקְרָא מְגִלָּה. וְאֵין לְךָ דָּבָר שֶׁנִּדְחֶה מִקְרָא מְגִלָּה מִפָּנָיו, חוּץ מִמֵּת שֶׁאֵין לוֹ קוֹבְרִין, שֶׁהַפּוֹגֵעַ בּוֹ קוֹבְרוֹ תְּחִלָּה וְאַחַר כָּךְ קוֹרֵא</w:t>
      </w:r>
      <w:r w:rsidRPr="005A666A">
        <w:t>.</w:t>
      </w:r>
    </w:p>
    <w:p w14:paraId="3CF50817" w14:textId="51FB1EAA" w:rsidR="005A666A" w:rsidRDefault="005A666A" w:rsidP="009B194B">
      <w:pPr>
        <w:rPr>
          <w:rtl/>
        </w:rPr>
      </w:pPr>
      <w:r>
        <w:rPr>
          <w:rFonts w:hint="cs"/>
          <w:rtl/>
        </w:rPr>
        <w:t>מת מצווה זה הדבר היחיד ש"יותר חשוב" ממקרא מגילה.</w:t>
      </w:r>
    </w:p>
    <w:p w14:paraId="4B14ECED" w14:textId="77777777" w:rsidR="007874C1" w:rsidRDefault="005A666A" w:rsidP="009B194B">
      <w:pPr>
        <w:rPr>
          <w:rtl/>
        </w:rPr>
      </w:pPr>
      <w:r>
        <w:rPr>
          <w:rFonts w:hint="cs"/>
          <w:rtl/>
        </w:rPr>
        <w:t>בהלכות תלמוד תורה</w:t>
      </w:r>
      <w:r w:rsidR="0010621E">
        <w:rPr>
          <w:rStyle w:val="ab"/>
          <w:rtl/>
        </w:rPr>
        <w:footnoteReference w:id="2"/>
      </w:r>
      <w:r>
        <w:rPr>
          <w:rFonts w:hint="cs"/>
          <w:rtl/>
        </w:rPr>
        <w:t xml:space="preserve"> הרמב"ם כותב</w:t>
      </w:r>
      <w:r w:rsidR="0010621E">
        <w:rPr>
          <w:rFonts w:hint="cs"/>
          <w:rtl/>
        </w:rPr>
        <w:t xml:space="preserve">: </w:t>
      </w:r>
    </w:p>
    <w:p w14:paraId="29D442D1" w14:textId="1C2824B5" w:rsidR="005A666A" w:rsidRDefault="0010621E" w:rsidP="007874C1">
      <w:pPr>
        <w:ind w:left="720"/>
        <w:rPr>
          <w:rtl/>
        </w:rPr>
      </w:pPr>
      <w:r w:rsidRPr="0010621E">
        <w:rPr>
          <w:rtl/>
        </w:rPr>
        <w:t xml:space="preserve">הָיָה לְפָנָיו עֲשִׂיַּת מִצְוָה וְתַלְמוּד תּוֹרָה: אִם אֶפְשָׁר לַמִּצְוָה לְהֵעָשׂוֹת עַל יְדֵי אֲחֵרִים - לֹא יַפְסִיק תַּלְמוּדוֹ; </w:t>
      </w:r>
      <w:r w:rsidRPr="00990AB0">
        <w:rPr>
          <w:u w:val="single"/>
          <w:rtl/>
        </w:rPr>
        <w:t>וְאִם לָאו - יַעֲשֶׂה הַמִּצְוָה וְיַחֲזֹר לְתוֹרָתוֹ</w:t>
      </w:r>
      <w:r w:rsidRPr="00990AB0">
        <w:rPr>
          <w:u w:val="single"/>
        </w:rPr>
        <w:t>.</w:t>
      </w:r>
    </w:p>
    <w:p w14:paraId="7645C0EF" w14:textId="384BF28A" w:rsidR="0010621E" w:rsidRDefault="0010621E" w:rsidP="0010621E">
      <w:pPr>
        <w:rPr>
          <w:rtl/>
        </w:rPr>
      </w:pPr>
      <w:r>
        <w:rPr>
          <w:rFonts w:hint="cs"/>
          <w:rtl/>
        </w:rPr>
        <w:t>מה החידוש בדברי הרמב"ם לגבי מקרא מגילה ותלמוד תורה? הרי אפשר להבין את זה אם קוראים את הלכות תלמוד תורה בלבד!</w:t>
      </w:r>
    </w:p>
    <w:p w14:paraId="6408C171" w14:textId="5446AE88" w:rsidR="00FB706C" w:rsidRDefault="0010621E" w:rsidP="00FB706C">
      <w:pPr>
        <w:rPr>
          <w:rtl/>
        </w:rPr>
      </w:pPr>
      <w:r>
        <w:rPr>
          <w:rFonts w:hint="cs"/>
          <w:rtl/>
        </w:rPr>
        <w:t>בהמשך</w:t>
      </w:r>
      <w:r>
        <w:rPr>
          <w:rStyle w:val="ab"/>
          <w:rtl/>
        </w:rPr>
        <w:footnoteReference w:id="3"/>
      </w:r>
      <w:r>
        <w:rPr>
          <w:rFonts w:hint="cs"/>
          <w:rtl/>
        </w:rPr>
        <w:t xml:space="preserve"> הרמב"ם כותב שאין כותבים את המגילה אלא בדיו</w:t>
      </w:r>
      <w:r w:rsidR="00FB706C">
        <w:rPr>
          <w:rFonts w:hint="cs"/>
          <w:rtl/>
        </w:rPr>
        <w:t xml:space="preserve">, וצריכה שרטוט, והלכות נוספות בכתיבת המגילה </w:t>
      </w:r>
      <w:r w:rsidR="00FB706C" w:rsidRPr="00990AB0">
        <w:rPr>
          <w:rFonts w:hint="cs"/>
          <w:u w:val="single"/>
          <w:rtl/>
        </w:rPr>
        <w:t>שדומות להלכות של ס</w:t>
      </w:r>
      <w:r w:rsidR="007874C1" w:rsidRPr="00990AB0">
        <w:rPr>
          <w:rFonts w:hint="cs"/>
          <w:u w:val="single"/>
          <w:rtl/>
        </w:rPr>
        <w:t xml:space="preserve">פר </w:t>
      </w:r>
      <w:r w:rsidR="00FB706C" w:rsidRPr="00990AB0">
        <w:rPr>
          <w:rFonts w:hint="cs"/>
          <w:u w:val="single"/>
          <w:rtl/>
        </w:rPr>
        <w:t>ת</w:t>
      </w:r>
      <w:r w:rsidR="007874C1" w:rsidRPr="00990AB0">
        <w:rPr>
          <w:rFonts w:hint="cs"/>
          <w:u w:val="single"/>
          <w:rtl/>
        </w:rPr>
        <w:t>ורה</w:t>
      </w:r>
      <w:r w:rsidR="007874C1">
        <w:rPr>
          <w:rFonts w:hint="cs"/>
          <w:rtl/>
        </w:rPr>
        <w:t>,</w:t>
      </w:r>
      <w:r w:rsidR="00FB706C">
        <w:rPr>
          <w:rFonts w:hint="cs"/>
          <w:rtl/>
        </w:rPr>
        <w:t xml:space="preserve"> ושונות מהלכות של תפילין ומזוזות. בהמשך</w:t>
      </w:r>
      <w:r w:rsidR="00FB706C">
        <w:rPr>
          <w:rStyle w:val="ab"/>
          <w:rtl/>
        </w:rPr>
        <w:footnoteReference w:id="4"/>
      </w:r>
      <w:r w:rsidR="00FB706C">
        <w:rPr>
          <w:rFonts w:hint="cs"/>
          <w:rtl/>
        </w:rPr>
        <w:t xml:space="preserve"> כתוב שהיא נקראת "אגרת"</w:t>
      </w:r>
      <w:r w:rsidR="00ED2FC6">
        <w:rPr>
          <w:rFonts w:hint="cs"/>
          <w:rtl/>
        </w:rPr>
        <w:t xml:space="preserve"> (שזה אומר תורה שבעל־פה).</w:t>
      </w:r>
    </w:p>
    <w:p w14:paraId="1B7CB5BF" w14:textId="29C7C7D0" w:rsidR="00FB706C" w:rsidRDefault="00FB706C" w:rsidP="00FB706C">
      <w:pPr>
        <w:rPr>
          <w:rtl/>
        </w:rPr>
      </w:pPr>
      <w:r>
        <w:rPr>
          <w:rFonts w:hint="cs"/>
          <w:rtl/>
        </w:rPr>
        <w:t>לכאורה נראה שהלכות אלו לא מתאימות לקדושה שיש במגילה, כי היא חלק מהכתובים, שקדושתם הכי פחותה מבין התנ"ך, שהרי התורה ניתנה למשה מסיני, וכתבי הנביאים מבוססים על רעיון אלוקי שהקב"ה אמר לנביא, והכתובים נכתבו ע"י רוח הקודש, אבל לפי בני אדם.</w:t>
      </w:r>
    </w:p>
    <w:p w14:paraId="4B5D9124" w14:textId="02565904" w:rsidR="007874C1" w:rsidRDefault="007874C1" w:rsidP="007874C1">
      <w:pPr>
        <w:rPr>
          <w:rtl/>
        </w:rPr>
      </w:pPr>
      <w:r>
        <w:rPr>
          <w:rFonts w:hint="cs"/>
          <w:rtl/>
        </w:rPr>
        <w:t>במסכת שבת</w:t>
      </w:r>
      <w:r>
        <w:rPr>
          <w:rStyle w:val="ab"/>
          <w:rtl/>
        </w:rPr>
        <w:footnoteReference w:id="5"/>
      </w:r>
      <w:r>
        <w:rPr>
          <w:rFonts w:hint="cs"/>
          <w:rtl/>
        </w:rPr>
        <w:t xml:space="preserve"> כתוב:</w:t>
      </w:r>
    </w:p>
    <w:p w14:paraId="095A5711" w14:textId="6E49D7A5" w:rsidR="007874C1" w:rsidRDefault="00A3468B" w:rsidP="007874C1">
      <w:pPr>
        <w:pStyle w:val="af4"/>
        <w:rPr>
          <w:rtl/>
        </w:rPr>
      </w:pPr>
      <w:r>
        <w:rPr>
          <w:rFonts w:hint="cs"/>
          <w:rtl/>
        </w:rPr>
        <w:t>"</w:t>
      </w:r>
      <w:r w:rsidR="007874C1" w:rsidRPr="007874C1">
        <w:rPr>
          <w:rtl/>
        </w:rPr>
        <w:t>ויתיצבו בתחתית ההר</w:t>
      </w:r>
      <w:r>
        <w:rPr>
          <w:rFonts w:hint="cs"/>
          <w:rtl/>
        </w:rPr>
        <w:t>"</w:t>
      </w:r>
      <w:r>
        <w:rPr>
          <w:rStyle w:val="ab"/>
          <w:rtl/>
        </w:rPr>
        <w:footnoteReference w:id="6"/>
      </w:r>
      <w:r w:rsidR="007874C1" w:rsidRPr="007874C1">
        <w:rPr>
          <w:rtl/>
        </w:rPr>
        <w:t xml:space="preserve"> א"ר אבדימי בר חמא בר חסא מלמד שכפה הקב"ה עליהם את ההר כגיגית ואמר להם אם אתם מקבלים התורה מוטב ואם לאו שם תהא קבורתכם א"ר אחא בר יעקב מכאן מודעא רבה לאורייתא אמר רבא אעפ"כ </w:t>
      </w:r>
      <w:r w:rsidR="007874C1" w:rsidRPr="00CB18F9">
        <w:rPr>
          <w:u w:val="single"/>
          <w:rtl/>
        </w:rPr>
        <w:t xml:space="preserve">הדור קבלוה בימי אחשורוש </w:t>
      </w:r>
      <w:r w:rsidR="007874C1" w:rsidRPr="007874C1">
        <w:rPr>
          <w:rtl/>
        </w:rPr>
        <w:t>דכתיב</w:t>
      </w:r>
      <w:r w:rsidR="00BE2016">
        <w:rPr>
          <w:rStyle w:val="ab"/>
          <w:rtl/>
        </w:rPr>
        <w:footnoteReference w:id="7"/>
      </w:r>
      <w:r w:rsidR="007874C1" w:rsidRPr="007874C1">
        <w:rPr>
          <w:rtl/>
        </w:rPr>
        <w:t xml:space="preserve"> </w:t>
      </w:r>
      <w:r w:rsidR="00BE2016">
        <w:rPr>
          <w:rFonts w:hint="cs"/>
          <w:rtl/>
        </w:rPr>
        <w:t>"</w:t>
      </w:r>
      <w:r w:rsidR="007874C1" w:rsidRPr="007874C1">
        <w:rPr>
          <w:rtl/>
        </w:rPr>
        <w:t>קימו וקבלו היהודים</w:t>
      </w:r>
      <w:r w:rsidR="00BE2016">
        <w:rPr>
          <w:rFonts w:hint="cs"/>
          <w:rtl/>
        </w:rPr>
        <w:t>"</w:t>
      </w:r>
      <w:r w:rsidR="007874C1" w:rsidRPr="007874C1">
        <w:rPr>
          <w:rtl/>
        </w:rPr>
        <w:t xml:space="preserve"> </w:t>
      </w:r>
      <w:r w:rsidR="00BE2016">
        <w:rPr>
          <w:rFonts w:hint="cs"/>
          <w:rtl/>
        </w:rPr>
        <w:t xml:space="preserve">– </w:t>
      </w:r>
      <w:r w:rsidR="007874C1" w:rsidRPr="007874C1">
        <w:rPr>
          <w:rtl/>
        </w:rPr>
        <w:t>קיימו מה שקיבלו כבר.</w:t>
      </w:r>
    </w:p>
    <w:p w14:paraId="27A5D9A9" w14:textId="2E4B3673" w:rsidR="007874C1" w:rsidRDefault="007874C1" w:rsidP="00FB706C">
      <w:pPr>
        <w:rPr>
          <w:rtl/>
        </w:rPr>
      </w:pPr>
      <w:r>
        <w:rPr>
          <w:rFonts w:hint="cs"/>
          <w:rtl/>
        </w:rPr>
        <w:t xml:space="preserve">הרמב"ם בהלכות </w:t>
      </w:r>
      <w:r w:rsidR="00A50BB1">
        <w:rPr>
          <w:rFonts w:hint="cs"/>
          <w:rtl/>
        </w:rPr>
        <w:t xml:space="preserve">שביתת </w:t>
      </w:r>
      <w:r>
        <w:rPr>
          <w:rFonts w:hint="cs"/>
          <w:rtl/>
        </w:rPr>
        <w:t>יום טוב</w:t>
      </w:r>
      <w:r w:rsidR="00A54B13">
        <w:rPr>
          <w:rStyle w:val="ab"/>
          <w:rtl/>
        </w:rPr>
        <w:footnoteReference w:id="8"/>
      </w:r>
      <w:r>
        <w:rPr>
          <w:rFonts w:hint="cs"/>
          <w:rtl/>
        </w:rPr>
        <w:t xml:space="preserve"> כותב</w:t>
      </w:r>
      <w:r w:rsidR="00220180">
        <w:rPr>
          <w:rFonts w:hint="cs"/>
          <w:rtl/>
        </w:rPr>
        <w:t xml:space="preserve"> שאסור לאדם להשתכר ביום טוב, ולא יחשוב שמי ששותה הרבה מרבה במצוות שמחה, כי השכרות היא הוללות ואי אפשר לעבוד את ה' מתוך הוללות.</w:t>
      </w:r>
    </w:p>
    <w:p w14:paraId="20DCED3E" w14:textId="07F007BB" w:rsidR="007874C1" w:rsidRDefault="007874C1" w:rsidP="00FB706C">
      <w:pPr>
        <w:rPr>
          <w:rtl/>
        </w:rPr>
      </w:pPr>
      <w:r>
        <w:rPr>
          <w:rFonts w:hint="cs"/>
          <w:rtl/>
        </w:rPr>
        <w:t>ואילו אצלנו</w:t>
      </w:r>
      <w:r>
        <w:rPr>
          <w:rStyle w:val="ab"/>
          <w:rtl/>
        </w:rPr>
        <w:footnoteReference w:id="9"/>
      </w:r>
      <w:r>
        <w:rPr>
          <w:rFonts w:hint="cs"/>
          <w:rtl/>
        </w:rPr>
        <w:t>, הרמב"ם כותב:</w:t>
      </w:r>
    </w:p>
    <w:p w14:paraId="1E653786" w14:textId="7103CE9B" w:rsidR="007874C1" w:rsidRDefault="00F25A1C" w:rsidP="00F25A1C">
      <w:pPr>
        <w:ind w:left="720"/>
        <w:rPr>
          <w:rtl/>
        </w:rPr>
      </w:pPr>
      <w:r w:rsidRPr="00F25A1C">
        <w:rPr>
          <w:rtl/>
        </w:rPr>
        <w:t xml:space="preserve">כֵּיצַד חוֹבַת סְעוּדָה זוֹ? שֶׁיֹּאכַל בָּשָׂר, וִיתַקֵּן סְעוּדָה נָאָה כְּפִי אֲשֶׁר תִּמְצָא יָדוֹ, וְשׁוֹתֶה יַיִן </w:t>
      </w:r>
      <w:r w:rsidRPr="006D2E69">
        <w:rPr>
          <w:u w:val="single"/>
          <w:rtl/>
        </w:rPr>
        <w:t>עַד שֶׁיִּשְׁתַּכֵּר וְיֵרָדֵם</w:t>
      </w:r>
      <w:r w:rsidRPr="006D2E69">
        <w:rPr>
          <w:rFonts w:hint="cs"/>
          <w:u w:val="single"/>
          <w:rtl/>
        </w:rPr>
        <w:t xml:space="preserve"> </w:t>
      </w:r>
      <w:r w:rsidRPr="006D2E69">
        <w:rPr>
          <w:u w:val="single"/>
          <w:rtl/>
        </w:rPr>
        <w:t>בְּשִׁכְרוּת.</w:t>
      </w:r>
    </w:p>
    <w:p w14:paraId="6EACC28C" w14:textId="1AD5E8E7" w:rsidR="00990AB0" w:rsidRDefault="00F25A1C" w:rsidP="008475CF">
      <w:pPr>
        <w:rPr>
          <w:rtl/>
        </w:rPr>
      </w:pPr>
      <w:r>
        <w:rPr>
          <w:rFonts w:hint="cs"/>
          <w:rtl/>
        </w:rPr>
        <w:lastRenderedPageBreak/>
        <w:t>בגמרא</w:t>
      </w:r>
      <w:r>
        <w:rPr>
          <w:rStyle w:val="ab"/>
          <w:rtl/>
        </w:rPr>
        <w:footnoteReference w:id="10"/>
      </w:r>
      <w:r>
        <w:rPr>
          <w:rFonts w:hint="cs"/>
          <w:rtl/>
        </w:rPr>
        <w:t xml:space="preserve"> מסופר על רבה ורבי זירא שהתבסמו, ולאחר מכן רבה קם והרג את רבי זירא.</w:t>
      </w:r>
      <w:r w:rsidR="002C3486">
        <w:rPr>
          <w:rFonts w:hint="cs"/>
          <w:rtl/>
        </w:rPr>
        <w:t xml:space="preserve"> רש"י </w:t>
      </w:r>
      <w:r w:rsidR="00A3468B">
        <w:rPr>
          <w:rFonts w:hint="cs"/>
          <w:rtl/>
        </w:rPr>
        <w:t xml:space="preserve">שם </w:t>
      </w:r>
      <w:r w:rsidR="002C3486">
        <w:rPr>
          <w:rFonts w:hint="cs"/>
          <w:rtl/>
        </w:rPr>
        <w:t xml:space="preserve">מפרש "איבסום </w:t>
      </w:r>
      <w:r w:rsidR="002C3486">
        <w:rPr>
          <w:rtl/>
        </w:rPr>
        <w:t>–</w:t>
      </w:r>
      <w:r w:rsidR="002C3486">
        <w:rPr>
          <w:rFonts w:hint="cs"/>
          <w:rtl/>
        </w:rPr>
        <w:t xml:space="preserve"> נשתכרו".</w:t>
      </w:r>
      <w:r>
        <w:rPr>
          <w:rFonts w:hint="cs"/>
          <w:rtl/>
        </w:rPr>
        <w:t xml:space="preserve"> לפיכך, נראה שהתבסמות איננה שתייה מועטה אלא השתכרות ממש.</w:t>
      </w:r>
      <w:r w:rsidR="00CB6C69">
        <w:rPr>
          <w:rFonts w:hint="cs"/>
          <w:rtl/>
        </w:rPr>
        <w:t xml:space="preserve"> כמו כן</w:t>
      </w:r>
      <w:r w:rsidR="008475CF">
        <w:rPr>
          <w:rFonts w:hint="cs"/>
          <w:rtl/>
        </w:rPr>
        <w:t xml:space="preserve"> </w:t>
      </w:r>
      <w:r w:rsidR="00990AB0">
        <w:rPr>
          <w:rFonts w:hint="cs"/>
          <w:rtl/>
        </w:rPr>
        <w:t>צריך לומר שכוונת הרמב"ם במשפט</w:t>
      </w:r>
      <w:r w:rsidR="00990AB0">
        <w:rPr>
          <w:rFonts w:hint="cs"/>
        </w:rPr>
        <w:t xml:space="preserve"> </w:t>
      </w:r>
      <w:r w:rsidR="00990AB0">
        <w:rPr>
          <w:rFonts w:hint="cs"/>
          <w:rtl/>
        </w:rPr>
        <w:t xml:space="preserve">"עד שיירדם בשכרות" </w:t>
      </w:r>
      <w:r w:rsidR="00990AB0">
        <w:rPr>
          <w:rtl/>
        </w:rPr>
        <w:t>–</w:t>
      </w:r>
      <w:r w:rsidR="00990AB0">
        <w:rPr>
          <w:rFonts w:hint="cs"/>
          <w:rtl/>
        </w:rPr>
        <w:t xml:space="preserve"> ישתה עד שיירדם.</w:t>
      </w:r>
    </w:p>
    <w:p w14:paraId="6B8B35D7" w14:textId="2D660920" w:rsidR="00A54B13" w:rsidRDefault="00A54B13" w:rsidP="002C3486">
      <w:pPr>
        <w:rPr>
          <w:rtl/>
        </w:rPr>
      </w:pPr>
      <w:r>
        <w:rPr>
          <w:rFonts w:hint="cs"/>
          <w:rtl/>
        </w:rPr>
        <w:t xml:space="preserve">בפורים יש "ארבעת הממים" </w:t>
      </w:r>
      <w:r>
        <w:rPr>
          <w:rtl/>
        </w:rPr>
        <w:t>–</w:t>
      </w:r>
      <w:r>
        <w:rPr>
          <w:rFonts w:hint="cs"/>
          <w:rtl/>
        </w:rPr>
        <w:t xml:space="preserve"> משלוח מנות, מתנות לאביונים, מקרא מגילה ומשתה. למה צריך משלוח מנות?</w:t>
      </w:r>
    </w:p>
    <w:p w14:paraId="5178B439" w14:textId="7642C45E" w:rsidR="00D33599" w:rsidRDefault="00D33599" w:rsidP="00D33599">
      <w:pPr>
        <w:rPr>
          <w:rtl/>
        </w:rPr>
      </w:pPr>
      <w:r>
        <w:rPr>
          <w:rFonts w:hint="cs"/>
          <w:rtl/>
        </w:rPr>
        <w:t>השפת אמת אומר שמטרת משלוח מנות היא להרבות אהבת ישראל.</w:t>
      </w:r>
    </w:p>
    <w:p w14:paraId="7A744F11" w14:textId="39055334" w:rsidR="00ED2FC6" w:rsidRDefault="00ED2FC6" w:rsidP="00D33599">
      <w:pPr>
        <w:rPr>
          <w:rtl/>
        </w:rPr>
      </w:pPr>
      <w:r>
        <w:rPr>
          <w:rFonts w:hint="cs"/>
          <w:rtl/>
        </w:rPr>
        <w:t>בהמשך</w:t>
      </w:r>
      <w:r>
        <w:rPr>
          <w:rStyle w:val="ab"/>
          <w:rtl/>
        </w:rPr>
        <w:footnoteReference w:id="11"/>
      </w:r>
      <w:r>
        <w:rPr>
          <w:rFonts w:hint="cs"/>
          <w:rtl/>
        </w:rPr>
        <w:t xml:space="preserve"> הרמב"ם אומר שבימות המשיח כל הנביאים והכתובים ייבטלו, חוץ ממגילת אסתר. היא תישאר יחד עם חמישה חומשי תורה והלכות תורה שבעל</w:t>
      </w:r>
      <w:r>
        <w:rPr>
          <w:rFonts w:cs="Times New Roman" w:hint="cs"/>
          <w:rtl/>
        </w:rPr>
        <w:t>־</w:t>
      </w:r>
      <w:r>
        <w:rPr>
          <w:rFonts w:hint="cs"/>
          <w:rtl/>
        </w:rPr>
        <w:t>פה.</w:t>
      </w:r>
    </w:p>
    <w:p w14:paraId="1D3C9AA4" w14:textId="0A4714C8" w:rsidR="00ED2FC6" w:rsidRDefault="00ED2FC6" w:rsidP="00D33599">
      <w:pPr>
        <w:rPr>
          <w:rtl/>
        </w:rPr>
      </w:pPr>
      <w:r>
        <w:rPr>
          <w:rFonts w:hint="cs"/>
          <w:rtl/>
        </w:rPr>
        <w:t>נראה לומר שהמהות של מגילת אסתר היא החיבור בין תורה שבכתב לתורה שבעל פה.</w:t>
      </w:r>
    </w:p>
    <w:p w14:paraId="45BD8E32" w14:textId="72ACBFE8" w:rsidR="00ED2FC6" w:rsidRDefault="00ED2FC6" w:rsidP="00ED2FC6">
      <w:pPr>
        <w:rPr>
          <w:rtl/>
        </w:rPr>
      </w:pPr>
      <w:r>
        <w:rPr>
          <w:rFonts w:hint="cs"/>
          <w:rtl/>
        </w:rPr>
        <w:t>הראב"ד</w:t>
      </w:r>
      <w:r w:rsidR="0023141C">
        <w:rPr>
          <w:rStyle w:val="ab"/>
          <w:rtl/>
        </w:rPr>
        <w:footnoteReference w:id="12"/>
      </w:r>
      <w:r>
        <w:rPr>
          <w:rFonts w:hint="cs"/>
          <w:rtl/>
        </w:rPr>
        <w:t xml:space="preserve"> כותב</w:t>
      </w:r>
      <w:r w:rsidR="00305C6F">
        <w:rPr>
          <w:rFonts w:hint="cs"/>
          <w:rtl/>
        </w:rPr>
        <w:t xml:space="preserve"> על דברי הרמב"ם</w:t>
      </w:r>
      <w:r>
        <w:rPr>
          <w:rFonts w:hint="cs"/>
          <w:rtl/>
        </w:rPr>
        <w:t>:</w:t>
      </w:r>
    </w:p>
    <w:p w14:paraId="63F4FA2C" w14:textId="26B73064" w:rsidR="00ED2FC6" w:rsidRDefault="00ED2FC6" w:rsidP="00ED2FC6">
      <w:pPr>
        <w:ind w:left="720"/>
        <w:rPr>
          <w:rtl/>
        </w:rPr>
      </w:pPr>
      <w:r>
        <w:rPr>
          <w:rFonts w:hint="cs"/>
          <w:rtl/>
        </w:rPr>
        <w:t xml:space="preserve">דבר הדיוטות הוא זה, כי </w:t>
      </w:r>
      <w:r w:rsidRPr="00ED2FC6">
        <w:rPr>
          <w:rtl/>
        </w:rPr>
        <w:t xml:space="preserve">לא יבטל דבר מכל הספרים שאין ספר שאין בו למוד. אבל כך אמרו אפילו יבטלו שאר ספרים </w:t>
      </w:r>
      <w:r w:rsidRPr="00387DCC">
        <w:rPr>
          <w:u w:val="single"/>
          <w:rtl/>
        </w:rPr>
        <w:t>מלקרות בהם</w:t>
      </w:r>
      <w:r>
        <w:rPr>
          <w:rFonts w:hint="cs"/>
          <w:rtl/>
        </w:rPr>
        <w:t>,</w:t>
      </w:r>
      <w:r w:rsidRPr="00ED2FC6">
        <w:rPr>
          <w:rtl/>
        </w:rPr>
        <w:t xml:space="preserve"> מגילה לא תבטל מלקרותה בצבור</w:t>
      </w:r>
      <w:r>
        <w:rPr>
          <w:rFonts w:hint="cs"/>
          <w:rtl/>
        </w:rPr>
        <w:t>.</w:t>
      </w:r>
    </w:p>
    <w:p w14:paraId="01A77EDE" w14:textId="25B0EDBB" w:rsidR="00ED2FC6" w:rsidRDefault="00ED2FC6" w:rsidP="00ED2FC6">
      <w:pPr>
        <w:rPr>
          <w:rtl/>
        </w:rPr>
      </w:pPr>
      <w:r>
        <w:rPr>
          <w:rFonts w:hint="cs"/>
          <w:rtl/>
        </w:rPr>
        <w:t xml:space="preserve">יש המפרשים </w:t>
      </w:r>
      <w:r w:rsidR="00493E78">
        <w:rPr>
          <w:rFonts w:hint="cs"/>
          <w:rtl/>
        </w:rPr>
        <w:t>"</w:t>
      </w:r>
      <w:r>
        <w:rPr>
          <w:rFonts w:hint="cs"/>
          <w:rtl/>
        </w:rPr>
        <w:t>ייבטל</w:t>
      </w:r>
      <w:r w:rsidR="00493E78">
        <w:rPr>
          <w:rFonts w:hint="cs"/>
          <w:rtl/>
        </w:rPr>
        <w:t>"</w:t>
      </w:r>
      <w:r>
        <w:rPr>
          <w:rFonts w:hint="cs"/>
          <w:rtl/>
        </w:rPr>
        <w:t xml:space="preserve"> </w:t>
      </w:r>
      <w:r>
        <w:rPr>
          <w:rtl/>
        </w:rPr>
        <w:t>–</w:t>
      </w:r>
      <w:r>
        <w:rPr>
          <w:rFonts w:hint="cs"/>
          <w:rtl/>
        </w:rPr>
        <w:t xml:space="preserve"> ייאבדו מגודלם כמו נר בצהריים (</w:t>
      </w:r>
      <w:r w:rsidR="00105611">
        <w:rPr>
          <w:rFonts w:hint="cs"/>
          <w:rtl/>
        </w:rPr>
        <w:t>"</w:t>
      </w:r>
      <w:r>
        <w:rPr>
          <w:rFonts w:hint="cs"/>
          <w:rtl/>
        </w:rPr>
        <w:t>שרגא בטי</w:t>
      </w:r>
      <w:r w:rsidR="0023141C">
        <w:rPr>
          <w:rFonts w:hint="cs"/>
          <w:rtl/>
        </w:rPr>
        <w:t>הרא</w:t>
      </w:r>
      <w:r w:rsidR="00105611">
        <w:rPr>
          <w:rFonts w:hint="cs"/>
          <w:rtl/>
        </w:rPr>
        <w:t>"</w:t>
      </w:r>
      <w:r w:rsidR="0023141C">
        <w:rPr>
          <w:rFonts w:hint="cs"/>
          <w:rtl/>
        </w:rPr>
        <w:t>).</w:t>
      </w:r>
    </w:p>
    <w:p w14:paraId="3A3134D6" w14:textId="5D7DDF93" w:rsidR="0023141C" w:rsidRDefault="0023141C" w:rsidP="00ED2FC6">
      <w:pPr>
        <w:rPr>
          <w:rtl/>
        </w:rPr>
      </w:pPr>
      <w:r>
        <w:rPr>
          <w:rFonts w:hint="cs"/>
          <w:rtl/>
        </w:rPr>
        <w:t xml:space="preserve">עדיין נותרה שאלה גדולה: אם בני ישראל אמרו "נעשה ונשמע" לפני הכפייה, למה צריך לכפות? ואם הייתה כפייה, אז למה כתוב "הדור </w:t>
      </w:r>
      <w:r w:rsidRPr="00F72B54">
        <w:rPr>
          <w:rFonts w:hint="cs"/>
          <w:u w:val="single"/>
          <w:rtl/>
        </w:rPr>
        <w:t>קיבלוה</w:t>
      </w:r>
      <w:r>
        <w:rPr>
          <w:rFonts w:hint="cs"/>
          <w:rtl/>
        </w:rPr>
        <w:t>"?</w:t>
      </w:r>
    </w:p>
    <w:p w14:paraId="1FF88717" w14:textId="40F6FC4B" w:rsidR="0023141C" w:rsidRDefault="0023141C" w:rsidP="0023141C">
      <w:pPr>
        <w:rPr>
          <w:rtl/>
        </w:rPr>
      </w:pPr>
      <w:r>
        <w:rPr>
          <w:rFonts w:hint="cs"/>
          <w:rtl/>
        </w:rPr>
        <w:t>ניתן לומר שעם ישראל קיבלו את הצד הרוחני אבל לא רצו לקבל עליהם את הצד ההלכתי, הלמדני. הראייה לכך היא שהתורה שבעל־פה השתכללה בימי בית שני, נוצרה חיבה להלכות הפרטיות. בימי אחשוורוש עם ישראל חזרו וקיבלו גם את הצד ההלכתי שבתורה.</w:t>
      </w:r>
    </w:p>
    <w:p w14:paraId="754AC2D8" w14:textId="54F404C2" w:rsidR="00BC5718" w:rsidRDefault="00BC5718" w:rsidP="0023141C">
      <w:pPr>
        <w:rPr>
          <w:rtl/>
        </w:rPr>
      </w:pPr>
      <w:r>
        <w:rPr>
          <w:rFonts w:hint="cs"/>
          <w:rtl/>
        </w:rPr>
        <w:t xml:space="preserve">כך גם לגבי שלוש השבועות, </w:t>
      </w:r>
      <w:r w:rsidR="00F72B54">
        <w:rPr>
          <w:rFonts w:hint="cs"/>
          <w:rtl/>
        </w:rPr>
        <w:t>האבני נזר</w:t>
      </w:r>
      <w:r>
        <w:rPr>
          <w:rStyle w:val="ab"/>
          <w:rtl/>
        </w:rPr>
        <w:footnoteReference w:id="13"/>
      </w:r>
      <w:r w:rsidR="00F72B54">
        <w:rPr>
          <w:rFonts w:hint="cs"/>
          <w:rtl/>
        </w:rPr>
        <w:t xml:space="preserve"> אומר שהיה שינוי בנפשות</w:t>
      </w:r>
      <w:r>
        <w:rPr>
          <w:rFonts w:hint="cs"/>
          <w:rtl/>
        </w:rPr>
        <w:t xml:space="preserve"> של אומות העולם ולכן</w:t>
      </w:r>
      <w:r w:rsidR="003F5442">
        <w:rPr>
          <w:rFonts w:hint="cs"/>
          <w:rtl/>
        </w:rPr>
        <w:t xml:space="preserve"> בימינו אין להן תוקף</w:t>
      </w:r>
      <w:r>
        <w:rPr>
          <w:rFonts w:hint="cs"/>
          <w:rtl/>
        </w:rPr>
        <w:t>.</w:t>
      </w:r>
    </w:p>
    <w:p w14:paraId="5E39A6AE" w14:textId="2DEA631A" w:rsidR="00F72B54" w:rsidRDefault="00EF12B8" w:rsidP="0023141C">
      <w:pPr>
        <w:rPr>
          <w:rtl/>
        </w:rPr>
      </w:pPr>
      <w:r>
        <w:rPr>
          <w:rFonts w:hint="cs"/>
          <w:rtl/>
        </w:rPr>
        <w:t xml:space="preserve">בשיר השירים כתוב </w:t>
      </w:r>
      <w:r w:rsidR="00F72B54">
        <w:rPr>
          <w:rFonts w:hint="cs"/>
          <w:rtl/>
        </w:rPr>
        <w:t>"</w:t>
      </w:r>
      <w:r>
        <w:rPr>
          <w:rFonts w:hint="cs"/>
          <w:rtl/>
        </w:rPr>
        <w:t xml:space="preserve">אם תעירו ואם תעוררו </w:t>
      </w:r>
      <w:r w:rsidR="00F72B54">
        <w:rPr>
          <w:rFonts w:hint="cs"/>
          <w:rtl/>
        </w:rPr>
        <w:t>את האהבה עד שתחפץ"</w:t>
      </w:r>
      <w:r w:rsidR="004204C7">
        <w:rPr>
          <w:rStyle w:val="ab"/>
          <w:rtl/>
        </w:rPr>
        <w:footnoteReference w:id="14"/>
      </w:r>
      <w:r w:rsidR="00F72B54">
        <w:rPr>
          <w:rFonts w:hint="cs"/>
          <w:rtl/>
        </w:rPr>
        <w:t xml:space="preserve"> </w:t>
      </w:r>
      <w:r w:rsidR="00F72B54">
        <w:rPr>
          <w:rtl/>
        </w:rPr>
        <w:t>–</w:t>
      </w:r>
      <w:r w:rsidR="00F72B54">
        <w:rPr>
          <w:rFonts w:hint="cs"/>
          <w:rtl/>
        </w:rPr>
        <w:t xml:space="preserve"> היא תחפץ כשישתנה משהו בלבבות ישראל.</w:t>
      </w:r>
      <w:r w:rsidR="00F445B2">
        <w:rPr>
          <w:rFonts w:hint="cs"/>
          <w:rtl/>
        </w:rPr>
        <w:t xml:space="preserve"> זה מה שקרה לעם ישראל בפורים, ברצון שלהם לקבל את התורה שבעל פה בשלמותה.</w:t>
      </w:r>
    </w:p>
    <w:p w14:paraId="6012B042" w14:textId="39A9EBE4" w:rsidR="00FF137E" w:rsidRDefault="00FF137E" w:rsidP="00787F27">
      <w:pPr>
        <w:rPr>
          <w:rtl/>
        </w:rPr>
      </w:pPr>
      <w:r>
        <w:rPr>
          <w:rFonts w:hint="cs"/>
          <w:rtl/>
        </w:rPr>
        <w:t xml:space="preserve">כך גם השפת אמת אומר לגבי מה שכתוב </w:t>
      </w:r>
      <w:r w:rsidR="00F935DD">
        <w:rPr>
          <w:rFonts w:hint="cs"/>
          <w:rtl/>
        </w:rPr>
        <w:t>בגמרא</w:t>
      </w:r>
      <w:r w:rsidR="00F935DD">
        <w:rPr>
          <w:rStyle w:val="ab"/>
          <w:rtl/>
        </w:rPr>
        <w:footnoteReference w:id="15"/>
      </w:r>
      <w:r>
        <w:rPr>
          <w:rFonts w:hint="cs"/>
          <w:rtl/>
        </w:rPr>
        <w:t xml:space="preserve"> </w:t>
      </w:r>
      <w:r w:rsidR="00F935DD">
        <w:rPr>
          <w:rFonts w:hint="cs"/>
          <w:rtl/>
        </w:rPr>
        <w:t>"</w:t>
      </w:r>
      <w:r w:rsidR="00F935DD" w:rsidRPr="00F935DD">
        <w:rPr>
          <w:rtl/>
        </w:rPr>
        <w:t xml:space="preserve">מיחייב איניש לבסומי בפוריא </w:t>
      </w:r>
      <w:r w:rsidR="00F935DD" w:rsidRPr="00787F27">
        <w:rPr>
          <w:u w:val="single"/>
          <w:rtl/>
        </w:rPr>
        <w:t>עד דלא ידע</w:t>
      </w:r>
      <w:r w:rsidR="00F935DD" w:rsidRPr="00F935DD">
        <w:rPr>
          <w:rtl/>
        </w:rPr>
        <w:t xml:space="preserve"> בין ארור המן לברוך מרדכי</w:t>
      </w:r>
      <w:r w:rsidR="00F935DD">
        <w:rPr>
          <w:rFonts w:hint="cs"/>
          <w:rtl/>
        </w:rPr>
        <w:t>".</w:t>
      </w:r>
      <w:r w:rsidR="00787F27">
        <w:rPr>
          <w:rFonts w:hint="cs"/>
          <w:rtl/>
        </w:rPr>
        <w:t xml:space="preserve"> </w:t>
      </w:r>
      <w:r>
        <w:rPr>
          <w:rFonts w:hint="cs"/>
          <w:rtl/>
        </w:rPr>
        <w:t xml:space="preserve">"עד דלא ידע" </w:t>
      </w:r>
      <w:r>
        <w:rPr>
          <w:rtl/>
        </w:rPr>
        <w:t>–</w:t>
      </w:r>
      <w:r>
        <w:rPr>
          <w:rFonts w:hint="cs"/>
          <w:rtl/>
        </w:rPr>
        <w:t xml:space="preserve"> למעלה מעץ הדעת טוב ורע</w:t>
      </w:r>
      <w:r w:rsidR="00787F27">
        <w:rPr>
          <w:rFonts w:hint="cs"/>
          <w:rtl/>
        </w:rPr>
        <w:t>.</w:t>
      </w:r>
      <w:r>
        <w:rPr>
          <w:rFonts w:hint="cs"/>
          <w:rtl/>
        </w:rPr>
        <w:t xml:space="preserve"> לא תימשך ליצר הרע.</w:t>
      </w:r>
    </w:p>
    <w:p w14:paraId="39A13B8D" w14:textId="4E117C7C" w:rsidR="00F935DD" w:rsidRDefault="00F935DD" w:rsidP="00F935DD">
      <w:pPr>
        <w:rPr>
          <w:rtl/>
        </w:rPr>
      </w:pPr>
      <w:r>
        <w:rPr>
          <w:rFonts w:hint="cs"/>
          <w:rtl/>
        </w:rPr>
        <w:t>השפת אמת</w:t>
      </w:r>
      <w:r w:rsidR="004E3568">
        <w:rPr>
          <w:rStyle w:val="ab"/>
          <w:rtl/>
        </w:rPr>
        <w:footnoteReference w:id="16"/>
      </w:r>
      <w:r>
        <w:rPr>
          <w:rFonts w:hint="cs"/>
          <w:rtl/>
        </w:rPr>
        <w:t xml:space="preserve"> שואל למה לא כתוב במגילה "ליהודים הייתה תורה", במקום לכתוב "ליהודים הייתה אורה" ואז להשאיר לחז"ל</w:t>
      </w:r>
      <w:r>
        <w:rPr>
          <w:rStyle w:val="ab"/>
          <w:rtl/>
        </w:rPr>
        <w:footnoteReference w:id="17"/>
      </w:r>
      <w:r>
        <w:rPr>
          <w:rFonts w:hint="cs"/>
          <w:rtl/>
        </w:rPr>
        <w:t xml:space="preserve"> לפרש ש"אורה זו תורה"?</w:t>
      </w:r>
    </w:p>
    <w:p w14:paraId="5344D9D9" w14:textId="2ACF29BC" w:rsidR="00787F27" w:rsidRPr="009B194B" w:rsidRDefault="004E3568" w:rsidP="00787F27">
      <w:r>
        <w:rPr>
          <w:rFonts w:hint="cs"/>
          <w:rtl/>
        </w:rPr>
        <w:t>התשובה</w:t>
      </w:r>
      <w:r w:rsidR="00F935DD">
        <w:rPr>
          <w:rFonts w:hint="cs"/>
          <w:rtl/>
        </w:rPr>
        <w:t xml:space="preserve"> היא שהתורה הפכה להיות אורה. יש הרגשה של התורה מבפנים. </w:t>
      </w:r>
      <w:r w:rsidR="00E81EB7">
        <w:rPr>
          <w:rFonts w:hint="cs"/>
          <w:rtl/>
        </w:rPr>
        <w:t>הם הרגישו זאת בנפשותם, שהתורה היא האורה.</w:t>
      </w:r>
    </w:p>
    <w:sectPr w:rsidR="00787F27" w:rsidRPr="009B194B"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15D3" w14:textId="77777777" w:rsidR="009C21FD" w:rsidRDefault="009C21FD" w:rsidP="009B194B">
      <w:pPr>
        <w:spacing w:after="0"/>
      </w:pPr>
      <w:r>
        <w:separator/>
      </w:r>
    </w:p>
  </w:endnote>
  <w:endnote w:type="continuationSeparator" w:id="0">
    <w:p w14:paraId="13AF80F3" w14:textId="77777777" w:rsidR="009C21FD" w:rsidRDefault="009C21FD" w:rsidP="009B1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5029" w14:textId="77777777" w:rsidR="009C21FD" w:rsidRDefault="009C21FD" w:rsidP="009B194B">
      <w:pPr>
        <w:spacing w:after="0"/>
      </w:pPr>
      <w:r>
        <w:separator/>
      </w:r>
    </w:p>
  </w:footnote>
  <w:footnote w:type="continuationSeparator" w:id="0">
    <w:p w14:paraId="1FB6723C" w14:textId="77777777" w:rsidR="009C21FD" w:rsidRDefault="009C21FD" w:rsidP="009B194B">
      <w:pPr>
        <w:spacing w:after="0"/>
      </w:pPr>
      <w:r>
        <w:continuationSeparator/>
      </w:r>
    </w:p>
  </w:footnote>
  <w:footnote w:id="1">
    <w:p w14:paraId="0E45B702" w14:textId="22936958" w:rsidR="0010621E" w:rsidRDefault="0010621E">
      <w:pPr>
        <w:pStyle w:val="a5"/>
      </w:pPr>
      <w:r>
        <w:rPr>
          <w:rStyle w:val="ab"/>
        </w:rPr>
        <w:footnoteRef/>
      </w:r>
      <w:r>
        <w:rPr>
          <w:rtl/>
        </w:rPr>
        <w:t xml:space="preserve"> </w:t>
      </w:r>
      <w:r>
        <w:rPr>
          <w:rFonts w:hint="cs"/>
          <w:rtl/>
        </w:rPr>
        <w:t>הלכות מגילה וחנוכה</w:t>
      </w:r>
      <w:r w:rsidR="00ED2FC6">
        <w:rPr>
          <w:rFonts w:hint="cs"/>
          <w:rtl/>
        </w:rPr>
        <w:t xml:space="preserve"> (להלן: המו"ח)</w:t>
      </w:r>
      <w:r>
        <w:rPr>
          <w:rFonts w:hint="cs"/>
          <w:rtl/>
        </w:rPr>
        <w:t xml:space="preserve"> פ"א ה"א</w:t>
      </w:r>
    </w:p>
  </w:footnote>
  <w:footnote w:id="2">
    <w:p w14:paraId="4FB4764C" w14:textId="6D1FEA6A" w:rsidR="0010621E" w:rsidRDefault="0010621E">
      <w:pPr>
        <w:pStyle w:val="a5"/>
        <w:rPr>
          <w:rtl/>
        </w:rPr>
      </w:pPr>
      <w:r>
        <w:rPr>
          <w:rStyle w:val="ab"/>
        </w:rPr>
        <w:footnoteRef/>
      </w:r>
      <w:r>
        <w:rPr>
          <w:rtl/>
        </w:rPr>
        <w:t xml:space="preserve"> </w:t>
      </w:r>
      <w:r>
        <w:rPr>
          <w:rFonts w:hint="cs"/>
          <w:rtl/>
        </w:rPr>
        <w:t>פ"ג ה"ד</w:t>
      </w:r>
    </w:p>
  </w:footnote>
  <w:footnote w:id="3">
    <w:p w14:paraId="413E2312" w14:textId="5D017DEB" w:rsidR="0010621E" w:rsidRDefault="0010621E">
      <w:pPr>
        <w:pStyle w:val="a5"/>
        <w:rPr>
          <w:rtl/>
        </w:rPr>
      </w:pPr>
      <w:r>
        <w:rPr>
          <w:rStyle w:val="ab"/>
        </w:rPr>
        <w:footnoteRef/>
      </w:r>
      <w:r>
        <w:rPr>
          <w:rtl/>
        </w:rPr>
        <w:t xml:space="preserve"> </w:t>
      </w:r>
      <w:r w:rsidR="00ED2FC6">
        <w:rPr>
          <w:rFonts w:hint="cs"/>
          <w:rtl/>
        </w:rPr>
        <w:t>המו"ח</w:t>
      </w:r>
      <w:r>
        <w:rPr>
          <w:rFonts w:hint="cs"/>
          <w:rtl/>
        </w:rPr>
        <w:t xml:space="preserve"> פ"ב </w:t>
      </w:r>
      <w:r w:rsidR="00FB706C">
        <w:rPr>
          <w:rFonts w:hint="cs"/>
          <w:rtl/>
        </w:rPr>
        <w:t>ה"ט</w:t>
      </w:r>
    </w:p>
  </w:footnote>
  <w:footnote w:id="4">
    <w:p w14:paraId="4EA562E9" w14:textId="64CF13CB" w:rsidR="00FB706C" w:rsidRDefault="00FB706C">
      <w:pPr>
        <w:pStyle w:val="a5"/>
      </w:pPr>
      <w:r>
        <w:rPr>
          <w:rStyle w:val="ab"/>
        </w:rPr>
        <w:footnoteRef/>
      </w:r>
      <w:r>
        <w:rPr>
          <w:rtl/>
        </w:rPr>
        <w:t xml:space="preserve"> </w:t>
      </w:r>
      <w:r>
        <w:rPr>
          <w:rFonts w:hint="cs"/>
          <w:rtl/>
        </w:rPr>
        <w:t>שם הי"א</w:t>
      </w:r>
    </w:p>
  </w:footnote>
  <w:footnote w:id="5">
    <w:p w14:paraId="58CAB974" w14:textId="223BE696" w:rsidR="007874C1" w:rsidRDefault="007874C1">
      <w:pPr>
        <w:pStyle w:val="a5"/>
      </w:pPr>
      <w:r>
        <w:rPr>
          <w:rStyle w:val="ab"/>
        </w:rPr>
        <w:footnoteRef/>
      </w:r>
      <w:r>
        <w:rPr>
          <w:rtl/>
        </w:rPr>
        <w:t xml:space="preserve"> </w:t>
      </w:r>
      <w:r>
        <w:rPr>
          <w:rFonts w:hint="cs"/>
          <w:rtl/>
        </w:rPr>
        <w:t>פח.</w:t>
      </w:r>
    </w:p>
  </w:footnote>
  <w:footnote w:id="6">
    <w:p w14:paraId="21E2C5DC" w14:textId="57CD2C4C" w:rsidR="00A3468B" w:rsidRDefault="00A3468B">
      <w:pPr>
        <w:pStyle w:val="a5"/>
        <w:rPr>
          <w:rtl/>
        </w:rPr>
      </w:pPr>
      <w:r>
        <w:rPr>
          <w:rStyle w:val="ab"/>
        </w:rPr>
        <w:footnoteRef/>
      </w:r>
      <w:r>
        <w:rPr>
          <w:rtl/>
        </w:rPr>
        <w:t xml:space="preserve"> </w:t>
      </w:r>
      <w:r>
        <w:rPr>
          <w:rFonts w:hint="cs"/>
          <w:rtl/>
        </w:rPr>
        <w:t>שמות י"ט י"ז</w:t>
      </w:r>
    </w:p>
  </w:footnote>
  <w:footnote w:id="7">
    <w:p w14:paraId="080DFD9D" w14:textId="6F25F3DE" w:rsidR="00BE2016" w:rsidRDefault="00BE2016">
      <w:pPr>
        <w:pStyle w:val="a5"/>
        <w:rPr>
          <w:rtl/>
        </w:rPr>
      </w:pPr>
      <w:r>
        <w:rPr>
          <w:rStyle w:val="ab"/>
        </w:rPr>
        <w:footnoteRef/>
      </w:r>
      <w:r>
        <w:rPr>
          <w:rtl/>
        </w:rPr>
        <w:t xml:space="preserve"> </w:t>
      </w:r>
      <w:r>
        <w:rPr>
          <w:rFonts w:hint="cs"/>
          <w:rtl/>
        </w:rPr>
        <w:t>אסתר ט' כ"ז</w:t>
      </w:r>
    </w:p>
  </w:footnote>
  <w:footnote w:id="8">
    <w:p w14:paraId="75D336A8" w14:textId="0A83F8D9" w:rsidR="00A54B13" w:rsidRDefault="00A54B13">
      <w:pPr>
        <w:pStyle w:val="a5"/>
      </w:pPr>
      <w:r>
        <w:rPr>
          <w:rStyle w:val="ab"/>
        </w:rPr>
        <w:footnoteRef/>
      </w:r>
      <w:r>
        <w:rPr>
          <w:rtl/>
        </w:rPr>
        <w:t xml:space="preserve"> </w:t>
      </w:r>
      <w:r>
        <w:rPr>
          <w:rFonts w:hint="cs"/>
          <w:rtl/>
        </w:rPr>
        <w:t>פ"ו ה"כ</w:t>
      </w:r>
    </w:p>
  </w:footnote>
  <w:footnote w:id="9">
    <w:p w14:paraId="428CA075" w14:textId="29C0DD24" w:rsidR="007874C1" w:rsidRDefault="007874C1">
      <w:pPr>
        <w:pStyle w:val="a5"/>
      </w:pPr>
      <w:r>
        <w:rPr>
          <w:rStyle w:val="ab"/>
        </w:rPr>
        <w:footnoteRef/>
      </w:r>
      <w:r>
        <w:rPr>
          <w:rtl/>
        </w:rPr>
        <w:t xml:space="preserve"> </w:t>
      </w:r>
      <w:r w:rsidR="00ED2FC6">
        <w:rPr>
          <w:rFonts w:hint="cs"/>
          <w:rtl/>
        </w:rPr>
        <w:t>המו"ח</w:t>
      </w:r>
      <w:r>
        <w:rPr>
          <w:rFonts w:hint="cs"/>
          <w:rtl/>
        </w:rPr>
        <w:t xml:space="preserve"> </w:t>
      </w:r>
      <w:r w:rsidR="00ED2FC6">
        <w:rPr>
          <w:rFonts w:hint="cs"/>
          <w:rtl/>
        </w:rPr>
        <w:t xml:space="preserve">פ"ב </w:t>
      </w:r>
      <w:r>
        <w:rPr>
          <w:rFonts w:hint="cs"/>
          <w:rtl/>
        </w:rPr>
        <w:t>הט"ו</w:t>
      </w:r>
    </w:p>
  </w:footnote>
  <w:footnote w:id="10">
    <w:p w14:paraId="417B264F" w14:textId="7925D387" w:rsidR="00F25A1C" w:rsidRDefault="00F25A1C">
      <w:pPr>
        <w:pStyle w:val="a5"/>
      </w:pPr>
      <w:r>
        <w:rPr>
          <w:rStyle w:val="ab"/>
        </w:rPr>
        <w:footnoteRef/>
      </w:r>
      <w:r>
        <w:rPr>
          <w:rtl/>
        </w:rPr>
        <w:t xml:space="preserve"> </w:t>
      </w:r>
      <w:r>
        <w:rPr>
          <w:rFonts w:hint="cs"/>
          <w:rtl/>
        </w:rPr>
        <w:t>מגילה ז:</w:t>
      </w:r>
    </w:p>
  </w:footnote>
  <w:footnote w:id="11">
    <w:p w14:paraId="1C55D2A0" w14:textId="1303B648" w:rsidR="00ED2FC6" w:rsidRDefault="00ED2FC6">
      <w:pPr>
        <w:pStyle w:val="a5"/>
      </w:pPr>
      <w:r>
        <w:rPr>
          <w:rStyle w:val="ab"/>
        </w:rPr>
        <w:footnoteRef/>
      </w:r>
      <w:r>
        <w:rPr>
          <w:rtl/>
        </w:rPr>
        <w:t xml:space="preserve"> </w:t>
      </w:r>
      <w:r>
        <w:rPr>
          <w:rFonts w:hint="cs"/>
          <w:rtl/>
        </w:rPr>
        <w:t>המו"ח פ"ב הי"ח</w:t>
      </w:r>
    </w:p>
  </w:footnote>
  <w:footnote w:id="12">
    <w:p w14:paraId="7692CAD5" w14:textId="1DB5119B" w:rsidR="0023141C" w:rsidRPr="00BC5718" w:rsidRDefault="0023141C" w:rsidP="00BC5718">
      <w:pPr>
        <w:pStyle w:val="af2"/>
        <w:rPr>
          <w:sz w:val="20"/>
        </w:rPr>
      </w:pPr>
      <w:r w:rsidRPr="00BC5718">
        <w:rPr>
          <w:rStyle w:val="ab"/>
          <w:sz w:val="20"/>
        </w:rPr>
        <w:footnoteRef/>
      </w:r>
      <w:r w:rsidRPr="00BC5718">
        <w:rPr>
          <w:sz w:val="20"/>
          <w:rtl/>
        </w:rPr>
        <w:t xml:space="preserve"> </w:t>
      </w:r>
      <w:r w:rsidRPr="00BC5718">
        <w:rPr>
          <w:rFonts w:hint="cs"/>
          <w:sz w:val="20"/>
          <w:rtl/>
        </w:rPr>
        <w:t>שם</w:t>
      </w:r>
    </w:p>
  </w:footnote>
  <w:footnote w:id="13">
    <w:p w14:paraId="185AFD5D" w14:textId="250666FA" w:rsidR="00BC5718" w:rsidRPr="00BC5718" w:rsidRDefault="00BC5718" w:rsidP="00BC5718">
      <w:pPr>
        <w:pStyle w:val="af2"/>
        <w:rPr>
          <w:rStyle w:val="ab"/>
          <w:sz w:val="20"/>
        </w:rPr>
      </w:pPr>
      <w:r w:rsidRPr="00BC5718">
        <w:rPr>
          <w:rStyle w:val="ab"/>
          <w:sz w:val="20"/>
        </w:rPr>
        <w:footnoteRef/>
      </w:r>
      <w:r w:rsidR="007D69FC">
        <w:rPr>
          <w:rStyle w:val="ab"/>
          <w:rFonts w:hint="cs"/>
          <w:sz w:val="20"/>
          <w:rtl/>
        </w:rPr>
        <w:t xml:space="preserve"> </w:t>
      </w:r>
      <w:r w:rsidRPr="00BC5718">
        <w:rPr>
          <w:sz w:val="20"/>
          <w:rtl/>
        </w:rPr>
        <w:t>יו"ד תנד ס"ק נו</w:t>
      </w:r>
    </w:p>
  </w:footnote>
  <w:footnote w:id="14">
    <w:p w14:paraId="49E9A515" w14:textId="653C80CD" w:rsidR="004204C7" w:rsidRPr="00BC5718" w:rsidRDefault="004204C7">
      <w:pPr>
        <w:pStyle w:val="a5"/>
      </w:pPr>
      <w:r w:rsidRPr="00BC5718">
        <w:rPr>
          <w:rStyle w:val="ab"/>
        </w:rPr>
        <w:footnoteRef/>
      </w:r>
      <w:r w:rsidRPr="00BC5718">
        <w:rPr>
          <w:rtl/>
        </w:rPr>
        <w:t xml:space="preserve"> </w:t>
      </w:r>
      <w:r w:rsidRPr="00BC5718">
        <w:rPr>
          <w:rFonts w:hint="cs"/>
          <w:rtl/>
        </w:rPr>
        <w:t>ג'</w:t>
      </w:r>
      <w:r w:rsidR="00624DC9">
        <w:rPr>
          <w:rFonts w:hint="cs"/>
          <w:rtl/>
        </w:rPr>
        <w:t>,</w:t>
      </w:r>
      <w:r w:rsidRPr="00BC5718">
        <w:rPr>
          <w:rFonts w:hint="cs"/>
          <w:rtl/>
        </w:rPr>
        <w:t xml:space="preserve"> ה'</w:t>
      </w:r>
    </w:p>
  </w:footnote>
  <w:footnote w:id="15">
    <w:p w14:paraId="70D718F9" w14:textId="6E64D3CD" w:rsidR="00F935DD" w:rsidRPr="00BC5718" w:rsidRDefault="00F935DD">
      <w:pPr>
        <w:pStyle w:val="a5"/>
      </w:pPr>
      <w:r w:rsidRPr="00BC5718">
        <w:rPr>
          <w:rStyle w:val="ab"/>
        </w:rPr>
        <w:footnoteRef/>
      </w:r>
      <w:r w:rsidRPr="00BC5718">
        <w:rPr>
          <w:rtl/>
        </w:rPr>
        <w:t xml:space="preserve"> </w:t>
      </w:r>
      <w:r w:rsidRPr="00BC5718">
        <w:rPr>
          <w:rFonts w:hint="cs"/>
          <w:rtl/>
        </w:rPr>
        <w:t>מגילה ז.</w:t>
      </w:r>
    </w:p>
  </w:footnote>
  <w:footnote w:id="16">
    <w:p w14:paraId="0FE185C1" w14:textId="11D158DB" w:rsidR="004E3568" w:rsidRPr="00BC5718" w:rsidRDefault="004E3568">
      <w:pPr>
        <w:pStyle w:val="a5"/>
      </w:pPr>
      <w:r w:rsidRPr="00BC5718">
        <w:rPr>
          <w:rStyle w:val="ab"/>
        </w:rPr>
        <w:footnoteRef/>
      </w:r>
      <w:r w:rsidRPr="00BC5718">
        <w:rPr>
          <w:rtl/>
        </w:rPr>
        <w:t xml:space="preserve"> </w:t>
      </w:r>
      <w:r w:rsidRPr="00BC5718">
        <w:rPr>
          <w:rFonts w:hint="cs"/>
          <w:rtl/>
        </w:rPr>
        <w:t>על פורים, תרמ"ח</w:t>
      </w:r>
    </w:p>
  </w:footnote>
  <w:footnote w:id="17">
    <w:p w14:paraId="05BCE0F8" w14:textId="28E168EC" w:rsidR="00F935DD" w:rsidRDefault="00F935DD">
      <w:pPr>
        <w:pStyle w:val="a5"/>
      </w:pPr>
      <w:r>
        <w:rPr>
          <w:rStyle w:val="ab"/>
        </w:rPr>
        <w:footnoteRef/>
      </w:r>
      <w:r>
        <w:rPr>
          <w:rtl/>
        </w:rPr>
        <w:t xml:space="preserve"> </w:t>
      </w:r>
      <w:r>
        <w:rPr>
          <w:rFonts w:hint="cs"/>
          <w:rtl/>
        </w:rPr>
        <w:t>שם טז:</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6CA6" w14:textId="3473CFF0" w:rsidR="009B194B" w:rsidRDefault="009B194B">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970D17">
      <w:rPr>
        <w:rFonts w:ascii="Times New Roman" w:hAnsi="Times New Roman" w:cs="Times New Roman" w:hint="cs"/>
        <w:noProof/>
        <w:rtl/>
      </w:rPr>
      <w:t>‏</w:t>
    </w:r>
    <w:r w:rsidR="00970D17">
      <w:rPr>
        <w:rFonts w:hint="cs"/>
        <w:noProof/>
        <w:rtl/>
      </w:rPr>
      <w:t>י</w:t>
    </w:r>
    <w:r w:rsidR="00970D17">
      <w:rPr>
        <w:noProof/>
        <w:rtl/>
      </w:rPr>
      <w:t>"</w:t>
    </w:r>
    <w:r w:rsidR="00970D17">
      <w:rPr>
        <w:rFonts w:hint="cs"/>
        <w:noProof/>
        <w:rtl/>
      </w:rPr>
      <w:t>ב</w:t>
    </w:r>
    <w:r w:rsidR="00970D17">
      <w:rPr>
        <w:noProof/>
        <w:rtl/>
      </w:rPr>
      <w:t xml:space="preserve"> </w:t>
    </w:r>
    <w:r w:rsidR="00970D17">
      <w:rPr>
        <w:rFonts w:hint="cs"/>
        <w:noProof/>
        <w:rtl/>
      </w:rPr>
      <w:t>אדר</w:t>
    </w:r>
    <w:r w:rsidR="00970D17">
      <w:rPr>
        <w:noProof/>
        <w:rtl/>
      </w:rPr>
      <w:t xml:space="preserve"> </w:t>
    </w:r>
    <w:r w:rsidR="00970D17">
      <w:rPr>
        <w:rFonts w:hint="cs"/>
        <w:noProof/>
        <w:rtl/>
      </w:rPr>
      <w:t>ב</w:t>
    </w:r>
    <w:r w:rsidR="00970D17">
      <w:rPr>
        <w:noProof/>
        <w:rtl/>
      </w:rPr>
      <w:t xml:space="preserve"> </w:t>
    </w:r>
    <w:r w:rsidR="00970D17">
      <w:rPr>
        <w:rFonts w:hint="cs"/>
        <w:noProof/>
        <w:rtl/>
      </w:rPr>
      <w:t>תשפ</w:t>
    </w:r>
    <w:r w:rsidR="00970D17">
      <w:rPr>
        <w:noProof/>
        <w:rtl/>
      </w:rPr>
      <w:t>"</w:t>
    </w:r>
    <w:r w:rsidR="00970D17">
      <w:rPr>
        <w:rFonts w:hint="cs"/>
        <w:noProof/>
        <w:rtl/>
      </w:rPr>
      <w:t>ב</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4B"/>
    <w:rsid w:val="001055B1"/>
    <w:rsid w:val="00105611"/>
    <w:rsid w:val="0010621E"/>
    <w:rsid w:val="00147567"/>
    <w:rsid w:val="001F3942"/>
    <w:rsid w:val="00220180"/>
    <w:rsid w:val="0023141C"/>
    <w:rsid w:val="00264875"/>
    <w:rsid w:val="002C3486"/>
    <w:rsid w:val="00305C6F"/>
    <w:rsid w:val="00345EB8"/>
    <w:rsid w:val="00387DCC"/>
    <w:rsid w:val="003F5442"/>
    <w:rsid w:val="004023F5"/>
    <w:rsid w:val="004204C7"/>
    <w:rsid w:val="00493E78"/>
    <w:rsid w:val="004E3568"/>
    <w:rsid w:val="005A666A"/>
    <w:rsid w:val="006140F2"/>
    <w:rsid w:val="00624DC9"/>
    <w:rsid w:val="006856EA"/>
    <w:rsid w:val="00696165"/>
    <w:rsid w:val="006D2E69"/>
    <w:rsid w:val="006F31E6"/>
    <w:rsid w:val="00734E01"/>
    <w:rsid w:val="007874C1"/>
    <w:rsid w:val="00787F27"/>
    <w:rsid w:val="007D69FC"/>
    <w:rsid w:val="008475CF"/>
    <w:rsid w:val="008716EC"/>
    <w:rsid w:val="00930174"/>
    <w:rsid w:val="00970D17"/>
    <w:rsid w:val="00971C95"/>
    <w:rsid w:val="00990AB0"/>
    <w:rsid w:val="009B194B"/>
    <w:rsid w:val="009C21FD"/>
    <w:rsid w:val="009E3F02"/>
    <w:rsid w:val="00A3468B"/>
    <w:rsid w:val="00A50BB1"/>
    <w:rsid w:val="00A54B13"/>
    <w:rsid w:val="00A71461"/>
    <w:rsid w:val="00B3202C"/>
    <w:rsid w:val="00BC5718"/>
    <w:rsid w:val="00BE2016"/>
    <w:rsid w:val="00C461A6"/>
    <w:rsid w:val="00CB18F9"/>
    <w:rsid w:val="00CB6C69"/>
    <w:rsid w:val="00D33599"/>
    <w:rsid w:val="00DE251B"/>
    <w:rsid w:val="00E1732B"/>
    <w:rsid w:val="00E81EB7"/>
    <w:rsid w:val="00ED2FC6"/>
    <w:rsid w:val="00EF12B8"/>
    <w:rsid w:val="00F25A1C"/>
    <w:rsid w:val="00F26196"/>
    <w:rsid w:val="00F445B2"/>
    <w:rsid w:val="00F72B54"/>
    <w:rsid w:val="00F935DD"/>
    <w:rsid w:val="00FB706C"/>
    <w:rsid w:val="00FF13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CAB0"/>
  <w15:chartTrackingRefBased/>
  <w15:docId w15:val="{3F78E299-8BDE-44EE-8F0E-100C115F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B3202C"/>
    <w:pPr>
      <w:outlineLvl w:val="1"/>
    </w:pPr>
    <w:rPr>
      <w:rFonts w:ascii="Heebo Medium" w:hAnsi="Heebo Medium" w:cstheme="min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B3202C"/>
    <w:rPr>
      <w:rFonts w:ascii="Heebo Medium" w:hAnsi="Heebo Medium" w:cstheme="minorBidi"/>
      <w:sz w:val="26"/>
      <w:szCs w:val="26"/>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aliases w:val="חכחכחכ"/>
    <w:basedOn w:val="a"/>
    <w:next w:val="a"/>
    <w:link w:val="af0"/>
    <w:uiPriority w:val="29"/>
    <w:qFormat/>
    <w:rsid w:val="00B3202C"/>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B3202C"/>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787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2</Pages>
  <Words>659</Words>
  <Characters>3298</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37</cp:revision>
  <dcterms:created xsi:type="dcterms:W3CDTF">2022-03-13T15:33:00Z</dcterms:created>
  <dcterms:modified xsi:type="dcterms:W3CDTF">2022-03-14T22:10:00Z</dcterms:modified>
</cp:coreProperties>
</file>