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619A9" w14:textId="25572114" w:rsidR="00A71461" w:rsidRDefault="0073516B" w:rsidP="0073516B">
      <w:pPr>
        <w:pStyle w:val="1"/>
        <w:rPr>
          <w:rtl/>
        </w:rPr>
      </w:pPr>
      <w:r>
        <w:rPr>
          <w:rFonts w:hint="cs"/>
          <w:rtl/>
        </w:rPr>
        <w:t>שכרות בפורים – הרב ישי</w:t>
      </w:r>
    </w:p>
    <w:p w14:paraId="646CFB1E" w14:textId="7DCB55C6" w:rsidR="00687E3C" w:rsidRDefault="00687E3C" w:rsidP="00687E3C">
      <w:pPr>
        <w:pStyle w:val="2"/>
        <w:rPr>
          <w:rtl/>
        </w:rPr>
      </w:pPr>
      <w:r>
        <w:rPr>
          <w:rFonts w:hint="cs"/>
          <w:rtl/>
        </w:rPr>
        <w:t>למה?</w:t>
      </w:r>
    </w:p>
    <w:p w14:paraId="1A9CCF4A" w14:textId="41A14F53" w:rsidR="0073516B" w:rsidRDefault="00FA11C1" w:rsidP="0073516B">
      <w:pPr>
        <w:rPr>
          <w:rtl/>
        </w:rPr>
      </w:pPr>
      <w:r>
        <w:rPr>
          <w:rFonts w:hint="cs"/>
          <w:rtl/>
        </w:rPr>
        <w:t>אמר רבא</w:t>
      </w:r>
      <w:r w:rsidR="008E0A62">
        <w:rPr>
          <w:rStyle w:val="ab"/>
          <w:rtl/>
        </w:rPr>
        <w:footnoteReference w:id="1"/>
      </w:r>
      <w:r>
        <w:rPr>
          <w:rFonts w:hint="cs"/>
          <w:rtl/>
        </w:rPr>
        <w:t xml:space="preserve">: אדם חייב להתבסם בפורים עד דלא ידע בין ארור המן לברוך מרדכי. </w:t>
      </w:r>
      <w:r w:rsidR="007A4253">
        <w:rPr>
          <w:rFonts w:hint="cs"/>
          <w:rtl/>
        </w:rPr>
        <w:t>רבה ורבי זירא עשו סעודת פורים ביחד, קם רבה ושחט את רבי זירא. יום לאחר מכן רבה ביקש רחמים על רבי זירא והוא חזר לחיות. שנה אח"כ הוא שאל אותו אם הוא רוצה לעשות שוב סעודת פורים ביחד, והוא אמר לו שלא בכל שעה מתרחש נס.</w:t>
      </w:r>
    </w:p>
    <w:p w14:paraId="15F5CDCA" w14:textId="4B0A197B" w:rsidR="008E0A62" w:rsidRDefault="008E0A62" w:rsidP="0073516B">
      <w:pPr>
        <w:rPr>
          <w:rtl/>
        </w:rPr>
      </w:pPr>
      <w:r>
        <w:rPr>
          <w:rFonts w:hint="cs"/>
          <w:rtl/>
        </w:rPr>
        <w:t>מה הגדר של "עד דלא ידע בין ארור המן לברוך מרדכי"? צריך להיות מאוד שיכור בשביל להתבלבל ביניהם.</w:t>
      </w:r>
    </w:p>
    <w:p w14:paraId="5D806098" w14:textId="274BA20A" w:rsidR="008E0A62" w:rsidRDefault="008E0A62" w:rsidP="0073516B">
      <w:pPr>
        <w:rPr>
          <w:rtl/>
        </w:rPr>
      </w:pPr>
      <w:r>
        <w:rPr>
          <w:rFonts w:hint="cs"/>
          <w:rtl/>
        </w:rPr>
        <w:t>בירושלמי</w:t>
      </w:r>
      <w:r w:rsidR="00BF0716">
        <w:rPr>
          <w:rStyle w:val="ab"/>
          <w:rtl/>
        </w:rPr>
        <w:footnoteReference w:id="2"/>
      </w:r>
      <w:r>
        <w:rPr>
          <w:rFonts w:hint="cs"/>
          <w:rtl/>
        </w:rPr>
        <w:t xml:space="preserve"> כתוב</w:t>
      </w:r>
      <w:r w:rsidR="00AC3569">
        <w:rPr>
          <w:rFonts w:hint="cs"/>
          <w:rtl/>
        </w:rPr>
        <w:t xml:space="preserve"> אפילו יותר מזה,</w:t>
      </w:r>
      <w:r>
        <w:rPr>
          <w:rFonts w:hint="cs"/>
          <w:rtl/>
        </w:rPr>
        <w:t xml:space="preserve"> </w:t>
      </w:r>
      <w:r w:rsidR="00C83E0B">
        <w:rPr>
          <w:rFonts w:hint="cs"/>
          <w:rtl/>
        </w:rPr>
        <w:t xml:space="preserve">עד </w:t>
      </w:r>
      <w:r w:rsidR="00BF0716">
        <w:rPr>
          <w:rFonts w:hint="cs"/>
          <w:rtl/>
        </w:rPr>
        <w:t xml:space="preserve">דלא ידע בין </w:t>
      </w:r>
      <w:r>
        <w:rPr>
          <w:rFonts w:hint="cs"/>
          <w:rtl/>
        </w:rPr>
        <w:t>ארורה זרש ברוכה אסתר</w:t>
      </w:r>
      <w:r w:rsidR="00BF0716">
        <w:rPr>
          <w:rFonts w:hint="cs"/>
          <w:rtl/>
        </w:rPr>
        <w:t>,</w:t>
      </w:r>
      <w:r>
        <w:rPr>
          <w:rFonts w:hint="cs"/>
          <w:rtl/>
        </w:rPr>
        <w:t xml:space="preserve"> ארורים כל הרשעים ברוכים כל היהודים.</w:t>
      </w:r>
    </w:p>
    <w:p w14:paraId="171F7E9B" w14:textId="49F1ECE0" w:rsidR="00BF0716" w:rsidRDefault="00BF0716" w:rsidP="00BF0716">
      <w:pPr>
        <w:rPr>
          <w:rtl/>
        </w:rPr>
      </w:pPr>
      <w:r>
        <w:rPr>
          <w:rFonts w:hint="cs"/>
          <w:rtl/>
        </w:rPr>
        <w:t>בעל המנהגות</w:t>
      </w:r>
      <w:r>
        <w:rPr>
          <w:rStyle w:val="ab"/>
          <w:rtl/>
        </w:rPr>
        <w:footnoteReference w:id="3"/>
      </w:r>
      <w:r>
        <w:rPr>
          <w:rFonts w:hint="cs"/>
          <w:rtl/>
        </w:rPr>
        <w:t xml:space="preserve"> אמר שהיה פיוט שעונים עליו ארור המן או ברוך מרדכי, ולפעמים אנשים התבלבלו. ויש מפרשים של"ארור המן" ול"ברוך מרדכי" יש אותה גימטריה, והכוונה היא עד שאדם לא יידע לכוון בחשבון.</w:t>
      </w:r>
    </w:p>
    <w:p w14:paraId="61192BDC" w14:textId="153E18A3" w:rsidR="00BF0716" w:rsidRDefault="00BF0716" w:rsidP="00BF0716">
      <w:pPr>
        <w:rPr>
          <w:rtl/>
        </w:rPr>
      </w:pPr>
      <w:r>
        <w:rPr>
          <w:rFonts w:hint="cs"/>
          <w:rtl/>
        </w:rPr>
        <w:t>הט"ז</w:t>
      </w:r>
      <w:r>
        <w:rPr>
          <w:rStyle w:val="ab"/>
          <w:rtl/>
        </w:rPr>
        <w:footnoteReference w:id="4"/>
      </w:r>
      <w:r>
        <w:rPr>
          <w:rFonts w:hint="cs"/>
          <w:rtl/>
        </w:rPr>
        <w:t xml:space="preserve"> אומר שאדם יהיה מבולבל מכל הטובות שקרו ליהודים </w:t>
      </w:r>
      <w:r>
        <w:rPr>
          <w:rtl/>
        </w:rPr>
        <w:t>–</w:t>
      </w:r>
      <w:r>
        <w:rPr>
          <w:rFonts w:hint="cs"/>
          <w:rtl/>
        </w:rPr>
        <w:t xml:space="preserve"> לא רק ניצלו מהגזירה אלא הם גם נעשו כמעט שליטים שם.</w:t>
      </w:r>
    </w:p>
    <w:p w14:paraId="0A43D88B" w14:textId="0DE2D3A4" w:rsidR="00BF0716" w:rsidRDefault="00BF0716" w:rsidP="00BF0716">
      <w:pPr>
        <w:rPr>
          <w:rtl/>
        </w:rPr>
      </w:pPr>
      <w:r>
        <w:rPr>
          <w:rFonts w:hint="cs"/>
          <w:rtl/>
        </w:rPr>
        <w:t>בעומק הדברים, כשאדם מבולבל, אפילו ברע הוא רואה את הטוב ואפשר לחשוב שברוך המן כי בלעדיו לא היה מתקיים "הדור קיבלוה בימי אחשוורוש"</w:t>
      </w:r>
      <w:r w:rsidR="009F2EEC">
        <w:rPr>
          <w:rStyle w:val="ab"/>
          <w:rtl/>
        </w:rPr>
        <w:footnoteReference w:id="5"/>
      </w:r>
      <w:r>
        <w:rPr>
          <w:rFonts w:hint="cs"/>
          <w:rtl/>
        </w:rPr>
        <w:t>.</w:t>
      </w:r>
    </w:p>
    <w:p w14:paraId="3DD2BBCA" w14:textId="0D08726A" w:rsidR="00BF0716" w:rsidRDefault="00687E3C" w:rsidP="00687E3C">
      <w:pPr>
        <w:pStyle w:val="2"/>
        <w:rPr>
          <w:rtl/>
        </w:rPr>
      </w:pPr>
      <w:r>
        <w:rPr>
          <w:rFonts w:hint="cs"/>
          <w:rtl/>
        </w:rPr>
        <w:t>כמה?</w:t>
      </w:r>
    </w:p>
    <w:p w14:paraId="66B7B857" w14:textId="4A66162E" w:rsidR="00BF0716" w:rsidRDefault="007B02BD" w:rsidP="00BF0716">
      <w:pPr>
        <w:rPr>
          <w:rtl/>
        </w:rPr>
      </w:pPr>
      <w:r>
        <w:rPr>
          <w:rFonts w:hint="cs"/>
          <w:rtl/>
        </w:rPr>
        <w:t>רבינו אפרים</w:t>
      </w:r>
      <w:r w:rsidR="009F2EEC">
        <w:rPr>
          <w:rStyle w:val="ab"/>
          <w:rtl/>
        </w:rPr>
        <w:footnoteReference w:id="6"/>
      </w:r>
      <w:r>
        <w:rPr>
          <w:rFonts w:hint="cs"/>
          <w:rtl/>
        </w:rPr>
        <w:t xml:space="preserve"> כתב שהסיבה שמובא הסיפור של רבה ורבי זירא היא שנבין שלא באמת חייב אדם להתבסם.</w:t>
      </w:r>
    </w:p>
    <w:p w14:paraId="1C152E2A" w14:textId="77777777" w:rsidR="007B02BD" w:rsidRDefault="007B02BD" w:rsidP="00BF0716">
      <w:pPr>
        <w:rPr>
          <w:rtl/>
        </w:rPr>
      </w:pPr>
      <w:r>
        <w:rPr>
          <w:rFonts w:hint="cs"/>
          <w:rtl/>
        </w:rPr>
        <w:t>לגבי "שחטיה לרבי זירא" – לאו דווקא כפשוטו, ניתן לפרש את זה בצורה אחרת:</w:t>
      </w:r>
    </w:p>
    <w:p w14:paraId="675DF087" w14:textId="11493D03" w:rsidR="007B02BD" w:rsidRDefault="007B02BD" w:rsidP="00BF0716">
      <w:pPr>
        <w:rPr>
          <w:rtl/>
        </w:rPr>
      </w:pPr>
      <w:r>
        <w:rPr>
          <w:rFonts w:hint="cs"/>
          <w:rtl/>
        </w:rPr>
        <w:t>רבי זירא היה עני, והיה בסעודת פורים אצל רבה העשיר, ו"שחטיה" – השקה אותו בהרבה יין, כי רבי זירא לא היה רגיל בשתיית אלכוהול אז זה גרם לו להרגיש רע.</w:t>
      </w:r>
    </w:p>
    <w:p w14:paraId="41B668E4" w14:textId="113F2432" w:rsidR="009F2EEC" w:rsidRDefault="00A53ABA" w:rsidP="00BF0716">
      <w:pPr>
        <w:rPr>
          <w:rtl/>
        </w:rPr>
      </w:pPr>
      <w:r>
        <w:rPr>
          <w:rFonts w:hint="cs"/>
          <w:rtl/>
        </w:rPr>
        <w:t>הרמב"ם</w:t>
      </w:r>
      <w:r>
        <w:rPr>
          <w:rStyle w:val="ab"/>
          <w:rtl/>
        </w:rPr>
        <w:footnoteReference w:id="7"/>
      </w:r>
      <w:r>
        <w:rPr>
          <w:rFonts w:hint="cs"/>
          <w:rtl/>
        </w:rPr>
        <w:t xml:space="preserve"> אומר: "כיצד חובת סעודה זו? ... ושותה יין עד שישתכר וירדם בשכרות."</w:t>
      </w:r>
    </w:p>
    <w:p w14:paraId="32651A1F" w14:textId="614EA06E" w:rsidR="0072471D" w:rsidRDefault="0072471D" w:rsidP="0072471D">
      <w:pPr>
        <w:rPr>
          <w:rtl/>
        </w:rPr>
      </w:pPr>
      <w:r>
        <w:rPr>
          <w:rFonts w:hint="cs"/>
          <w:rtl/>
        </w:rPr>
        <w:t>המגיד משנה</w:t>
      </w:r>
      <w:r>
        <w:rPr>
          <w:rStyle w:val="ab"/>
          <w:rtl/>
        </w:rPr>
        <w:footnoteReference w:id="8"/>
      </w:r>
      <w:r>
        <w:rPr>
          <w:rFonts w:hint="cs"/>
          <w:rtl/>
        </w:rPr>
        <w:t xml:space="preserve"> </w:t>
      </w:r>
      <w:r w:rsidR="00A534B1">
        <w:rPr>
          <w:rFonts w:hint="cs"/>
          <w:rtl/>
        </w:rPr>
        <w:t>אומר</w:t>
      </w:r>
      <w:r>
        <w:rPr>
          <w:rFonts w:hint="cs"/>
          <w:rtl/>
        </w:rPr>
        <w:t xml:space="preserve"> שהמקור לדברי הרמב"ם זה "מיחייב איניש</w:t>
      </w:r>
      <w:r w:rsidR="000B352F">
        <w:rPr>
          <w:rFonts w:hint="cs"/>
          <w:rtl/>
        </w:rPr>
        <w:t>"</w:t>
      </w:r>
      <w:r>
        <w:rPr>
          <w:rFonts w:hint="cs"/>
          <w:rtl/>
        </w:rPr>
        <w:t>.</w:t>
      </w:r>
    </w:p>
    <w:p w14:paraId="0D2D07C9" w14:textId="3E88AB0A" w:rsidR="00A53ABA" w:rsidRDefault="00466BA1" w:rsidP="00BF0716">
      <w:pPr>
        <w:rPr>
          <w:rtl/>
        </w:rPr>
      </w:pPr>
      <w:r>
        <w:rPr>
          <w:rFonts w:hint="cs"/>
          <w:rtl/>
        </w:rPr>
        <w:t>ערוך השולחן</w:t>
      </w:r>
      <w:r w:rsidR="00DB34B7">
        <w:rPr>
          <w:rStyle w:val="ab"/>
          <w:rtl/>
        </w:rPr>
        <w:footnoteReference w:id="9"/>
      </w:r>
      <w:r w:rsidR="00A4548E">
        <w:rPr>
          <w:rFonts w:hint="cs"/>
          <w:rtl/>
        </w:rPr>
        <w:t xml:space="preserve"> </w:t>
      </w:r>
      <w:r w:rsidR="00A4548E">
        <w:rPr>
          <w:rStyle w:val="ab"/>
          <w:rtl/>
        </w:rPr>
        <w:footnoteReference w:id="10"/>
      </w:r>
      <w:r>
        <w:rPr>
          <w:rFonts w:hint="cs"/>
          <w:rtl/>
        </w:rPr>
        <w:t xml:space="preserve"> </w:t>
      </w:r>
      <w:r w:rsidR="00A534B1">
        <w:rPr>
          <w:rFonts w:hint="cs"/>
          <w:rtl/>
        </w:rPr>
        <w:t xml:space="preserve">חולק על המ"מ </w:t>
      </w:r>
      <w:r w:rsidR="004A2D19">
        <w:rPr>
          <w:rFonts w:hint="cs"/>
          <w:rtl/>
        </w:rPr>
        <w:t>ו</w:t>
      </w:r>
      <w:r>
        <w:rPr>
          <w:rFonts w:hint="cs"/>
          <w:rtl/>
        </w:rPr>
        <w:t>אומר שהרמב"ם, כמו רבינו אפרים, דחה את "</w:t>
      </w:r>
      <w:r w:rsidR="003C623B">
        <w:rPr>
          <w:rFonts w:hint="cs"/>
          <w:rtl/>
        </w:rPr>
        <w:t>מיחייב</w:t>
      </w:r>
      <w:r>
        <w:rPr>
          <w:rFonts w:hint="cs"/>
          <w:rtl/>
        </w:rPr>
        <w:t xml:space="preserve"> איניש לבסומי" מההלכה, </w:t>
      </w:r>
      <w:r w:rsidRPr="006037BD">
        <w:rPr>
          <w:rFonts w:hint="cs"/>
          <w:u w:val="single"/>
          <w:rtl/>
        </w:rPr>
        <w:t>ואדם צריך לשתות קצת ולישון</w:t>
      </w:r>
      <w:r>
        <w:rPr>
          <w:rFonts w:hint="cs"/>
          <w:rtl/>
        </w:rPr>
        <w:t>.</w:t>
      </w:r>
    </w:p>
    <w:p w14:paraId="093665D8" w14:textId="1C16861C" w:rsidR="003C623B" w:rsidRDefault="007173A7" w:rsidP="00BF0716">
      <w:pPr>
        <w:rPr>
          <w:rtl/>
        </w:rPr>
      </w:pPr>
      <w:r>
        <w:rPr>
          <w:rFonts w:hint="cs"/>
          <w:rtl/>
        </w:rPr>
        <w:t xml:space="preserve">הבאר היטב מביא פירוש </w:t>
      </w:r>
      <w:r w:rsidRPr="007173A7">
        <w:rPr>
          <w:rFonts w:hint="cs"/>
          <w:u w:val="single"/>
          <w:rtl/>
        </w:rPr>
        <w:t>שהיין מבלבל אותו</w:t>
      </w:r>
      <w:r>
        <w:rPr>
          <w:rFonts w:hint="cs"/>
          <w:rtl/>
        </w:rPr>
        <w:t xml:space="preserve"> כששתה יותר מרביעית.</w:t>
      </w:r>
    </w:p>
    <w:p w14:paraId="24E929A0" w14:textId="516F2D22" w:rsidR="006037BD" w:rsidRDefault="006037BD" w:rsidP="00BF0716">
      <w:pPr>
        <w:rPr>
          <w:rtl/>
        </w:rPr>
      </w:pPr>
      <w:r>
        <w:rPr>
          <w:rFonts w:hint="cs"/>
          <w:rtl/>
        </w:rPr>
        <w:t>הארחות חיים</w:t>
      </w:r>
      <w:r w:rsidR="00A52DAC">
        <w:rPr>
          <w:rStyle w:val="ab"/>
          <w:rtl/>
        </w:rPr>
        <w:footnoteReference w:id="11"/>
      </w:r>
      <w:r>
        <w:rPr>
          <w:rFonts w:hint="cs"/>
          <w:rtl/>
        </w:rPr>
        <w:t xml:space="preserve"> אומר שהשכרות איסור גמור שהוא גורם לג"ע וש"ד, וצריך לשתות </w:t>
      </w:r>
      <w:r w:rsidRPr="006037BD">
        <w:rPr>
          <w:rFonts w:hint="cs"/>
          <w:u w:val="single"/>
          <w:rtl/>
        </w:rPr>
        <w:t>יותר מלימודו מעט</w:t>
      </w:r>
      <w:r>
        <w:rPr>
          <w:rFonts w:hint="cs"/>
          <w:rtl/>
        </w:rPr>
        <w:t>.</w:t>
      </w:r>
    </w:p>
    <w:p w14:paraId="312354DC" w14:textId="6914F0E4" w:rsidR="00F724EA" w:rsidRDefault="00F724EA" w:rsidP="00BF0716">
      <w:pPr>
        <w:rPr>
          <w:rtl/>
        </w:rPr>
      </w:pPr>
      <w:r>
        <w:rPr>
          <w:rFonts w:hint="cs"/>
          <w:rtl/>
        </w:rPr>
        <w:t>הקרבן נתנאל</w:t>
      </w:r>
      <w:r w:rsidR="00CE6BCC">
        <w:rPr>
          <w:rStyle w:val="ab"/>
          <w:rtl/>
        </w:rPr>
        <w:footnoteReference w:id="12"/>
      </w:r>
      <w:r>
        <w:rPr>
          <w:rFonts w:hint="cs"/>
          <w:rtl/>
        </w:rPr>
        <w:t xml:space="preserve"> אומר "עד דלא ידע" </w:t>
      </w:r>
      <w:r>
        <w:rPr>
          <w:rtl/>
        </w:rPr>
        <w:t>–</w:t>
      </w:r>
      <w:r>
        <w:rPr>
          <w:rFonts w:hint="cs"/>
          <w:rtl/>
        </w:rPr>
        <w:t xml:space="preserve"> עד ולא עד בכלל.</w:t>
      </w:r>
      <w:r w:rsidR="004E1E13">
        <w:rPr>
          <w:rFonts w:hint="cs"/>
          <w:rtl/>
        </w:rPr>
        <w:t xml:space="preserve"> הגבול הוא שאדם לא מבחין בין ארור המן לברוך מרדכי, אז אדם לא צריך להגיע לגבול זה.</w:t>
      </w:r>
    </w:p>
    <w:p w14:paraId="636A3B8F" w14:textId="2723B418" w:rsidR="00173EFE" w:rsidRDefault="00173EFE" w:rsidP="00BF0716">
      <w:pPr>
        <w:rPr>
          <w:rtl/>
        </w:rPr>
      </w:pPr>
      <w:r>
        <w:rPr>
          <w:rFonts w:hint="cs"/>
          <w:rtl/>
        </w:rPr>
        <w:lastRenderedPageBreak/>
        <w:t>היד אפרים אומר שעיקר החיוב של המשתה הוא שיהיה שרוי בשמחה</w:t>
      </w:r>
      <w:r w:rsidR="00790846">
        <w:rPr>
          <w:rFonts w:hint="cs"/>
          <w:rtl/>
        </w:rPr>
        <w:t xml:space="preserve"> ויודה לה' על הנס</w:t>
      </w:r>
      <w:r w:rsidR="00152226">
        <w:rPr>
          <w:rFonts w:hint="cs"/>
          <w:rtl/>
        </w:rPr>
        <w:t>, ולא שיתבלבל בין ארור המן לברוך מרדכי כי אם כן לא יהיה לו דעת לשבח את ה'</w:t>
      </w:r>
      <w:r>
        <w:rPr>
          <w:rFonts w:hint="cs"/>
          <w:rtl/>
        </w:rPr>
        <w:t>.</w:t>
      </w:r>
    </w:p>
    <w:p w14:paraId="015C1CCB" w14:textId="1FC0C0FB" w:rsidR="0072471D" w:rsidRDefault="0072471D" w:rsidP="00BF0716">
      <w:pPr>
        <w:rPr>
          <w:rtl/>
        </w:rPr>
      </w:pPr>
      <w:r>
        <w:rPr>
          <w:rFonts w:hint="cs"/>
          <w:rtl/>
        </w:rPr>
        <w:t>הב"ח אומר שרבינו אפרים התכוון שהסיפור של רבה ורבי זירא הגיע בשביל לדחות את הגדר של "עד דלא ידע", ולא את השתייה באופן כללי.</w:t>
      </w:r>
    </w:p>
    <w:p w14:paraId="493E8A1C" w14:textId="40B822DE" w:rsidR="00CC50BF" w:rsidRDefault="00CC50BF" w:rsidP="00BF0716">
      <w:pPr>
        <w:rPr>
          <w:rtl/>
        </w:rPr>
      </w:pPr>
      <w:r>
        <w:rPr>
          <w:rFonts w:hint="cs"/>
          <w:rtl/>
        </w:rPr>
        <w:t>הפרי חדש אומר שאם הסיפור היה מובא בשביל לדחות את דברי רבא, אז רבי זירא היה משתמש בתירוץ זה בשביל לא להגיע בשנה שאחרי.</w:t>
      </w:r>
    </w:p>
    <w:p w14:paraId="00D3D72F" w14:textId="41A7E38A" w:rsidR="00CC50BF" w:rsidRDefault="00CC50BF" w:rsidP="00BF0716">
      <w:pPr>
        <w:rPr>
          <w:rtl/>
        </w:rPr>
      </w:pPr>
      <w:r>
        <w:rPr>
          <w:rFonts w:hint="cs"/>
          <w:rtl/>
        </w:rPr>
        <w:t xml:space="preserve">כף החיים </w:t>
      </w:r>
      <w:r w:rsidR="003F5867">
        <w:rPr>
          <w:rFonts w:hint="cs"/>
          <w:rtl/>
        </w:rPr>
        <w:t>מביא את שער הכוונות, ש</w:t>
      </w:r>
      <w:r>
        <w:rPr>
          <w:rFonts w:hint="cs"/>
          <w:rtl/>
        </w:rPr>
        <w:t xml:space="preserve">אומר ש"עד דלא ידע" </w:t>
      </w:r>
      <w:r>
        <w:rPr>
          <w:rtl/>
        </w:rPr>
        <w:t>–</w:t>
      </w:r>
      <w:r>
        <w:rPr>
          <w:rFonts w:hint="cs"/>
          <w:rtl/>
        </w:rPr>
        <w:t xml:space="preserve"> כפשוטו.</w:t>
      </w:r>
    </w:p>
    <w:p w14:paraId="228EF391" w14:textId="30111AF5" w:rsidR="00CC50BF" w:rsidRDefault="00CC50BF" w:rsidP="00BF0716">
      <w:pPr>
        <w:rPr>
          <w:rtl/>
        </w:rPr>
      </w:pPr>
      <w:r>
        <w:rPr>
          <w:rFonts w:hint="cs"/>
          <w:rtl/>
        </w:rPr>
        <w:t>הרב קוק</w:t>
      </w:r>
      <w:r w:rsidR="00A4548E">
        <w:rPr>
          <w:rFonts w:hint="cs"/>
          <w:rtl/>
        </w:rPr>
        <w:t xml:space="preserve"> כותב בעולת ראיה</w:t>
      </w:r>
      <w:r w:rsidR="00A4548E">
        <w:rPr>
          <w:rStyle w:val="ab"/>
          <w:rtl/>
        </w:rPr>
        <w:footnoteReference w:id="13"/>
      </w:r>
      <w:r w:rsidR="00A4548E">
        <w:rPr>
          <w:rFonts w:hint="cs"/>
          <w:rtl/>
        </w:rPr>
        <w:t xml:space="preserve">, שכאשר </w:t>
      </w:r>
      <w:r w:rsidR="00F71207">
        <w:rPr>
          <w:rFonts w:hint="cs"/>
          <w:rtl/>
        </w:rPr>
        <w:t xml:space="preserve">יש יותר מידי שמחה, השכל מסתלק מהגוף ונוצר מצב מסוכן. אבל בפורים יש שתי סיבות שמפריכות את זה </w:t>
      </w:r>
      <w:r w:rsidR="00F71207">
        <w:rPr>
          <w:rtl/>
        </w:rPr>
        <w:t>–</w:t>
      </w:r>
      <w:r w:rsidR="00F71207">
        <w:rPr>
          <w:rFonts w:hint="cs"/>
          <w:rtl/>
        </w:rPr>
        <w:t xml:space="preserve"> הגוף יכול לקבל שמחה גדולה והוא לא יתבטל, ועוד גם אם יסולק השכל מהגוף, כחות הגוף בעצמם הם קדושים. </w:t>
      </w:r>
      <w:r w:rsidR="009875E9">
        <w:rPr>
          <w:rFonts w:hint="cs"/>
          <w:rtl/>
        </w:rPr>
        <w:t xml:space="preserve">הרב קוק כותב ש"לולא דמסתפינא" הוא היה אומר שבפורים </w:t>
      </w:r>
      <w:r w:rsidR="00F71207">
        <w:rPr>
          <w:rFonts w:hint="cs"/>
          <w:rtl/>
        </w:rPr>
        <w:t>אדם יכול להתפלל כשהוא שתוי, אלא אם הוא שיכור גמור.</w:t>
      </w:r>
    </w:p>
    <w:p w14:paraId="153F8A17" w14:textId="4CE1D288" w:rsidR="00687E3C" w:rsidRDefault="00687E3C" w:rsidP="00687E3C">
      <w:pPr>
        <w:pStyle w:val="2"/>
        <w:rPr>
          <w:rtl/>
        </w:rPr>
      </w:pPr>
      <w:r>
        <w:rPr>
          <w:rFonts w:hint="cs"/>
          <w:rtl/>
        </w:rPr>
        <w:t>מתי?</w:t>
      </w:r>
    </w:p>
    <w:p w14:paraId="0E569CA0" w14:textId="7293E9FE" w:rsidR="00687E3C" w:rsidRDefault="00687E3C" w:rsidP="00687E3C">
      <w:pPr>
        <w:rPr>
          <w:rtl/>
        </w:rPr>
      </w:pPr>
      <w:r>
        <w:rPr>
          <w:rFonts w:hint="cs"/>
          <w:rtl/>
        </w:rPr>
        <w:t>הב"י אומר שאפשר לצאת ידי חובה בסעודת פורים בלילה</w:t>
      </w:r>
      <w:r w:rsidR="00FD143E">
        <w:rPr>
          <w:rFonts w:hint="cs"/>
          <w:rtl/>
        </w:rPr>
        <w:t>.</w:t>
      </w:r>
    </w:p>
    <w:p w14:paraId="6665CAAF" w14:textId="2F84B82D" w:rsidR="004A229C" w:rsidRDefault="00FD143E" w:rsidP="004A229C">
      <w:pPr>
        <w:rPr>
          <w:rtl/>
        </w:rPr>
      </w:pPr>
      <w:r>
        <w:rPr>
          <w:rFonts w:hint="cs"/>
          <w:rtl/>
        </w:rPr>
        <w:t>השו"ע אומר שאדם שעשה סעודת פורים בלילה לא יצא ידי חובתו. הרמ"א כותב שבכל זאת גם בלילה ישמח וירבה קצת בסעודה.</w:t>
      </w:r>
      <w:r w:rsidR="004A229C">
        <w:rPr>
          <w:rFonts w:hint="cs"/>
          <w:rtl/>
        </w:rPr>
        <w:t xml:space="preserve"> המג"א אומר ש"בלילה" </w:t>
      </w:r>
      <w:r w:rsidR="004A229C">
        <w:rPr>
          <w:rtl/>
        </w:rPr>
        <w:t>–</w:t>
      </w:r>
      <w:r w:rsidR="004A229C">
        <w:rPr>
          <w:rFonts w:hint="cs"/>
          <w:rtl/>
        </w:rPr>
        <w:t xml:space="preserve"> </w:t>
      </w:r>
      <w:r w:rsidR="004A229C" w:rsidRPr="005E49B7">
        <w:rPr>
          <w:rFonts w:hint="cs"/>
          <w:u w:val="single"/>
          <w:rtl/>
        </w:rPr>
        <w:t>אפילו בליל י"ד</w:t>
      </w:r>
      <w:r w:rsidR="004A229C">
        <w:rPr>
          <w:rFonts w:hint="cs"/>
          <w:rtl/>
        </w:rPr>
        <w:t>.</w:t>
      </w:r>
    </w:p>
    <w:p w14:paraId="4828044D" w14:textId="119A566A" w:rsidR="004A229C" w:rsidRDefault="004A229C" w:rsidP="00687E3C">
      <w:pPr>
        <w:rPr>
          <w:rtl/>
        </w:rPr>
      </w:pPr>
      <w:r>
        <w:rPr>
          <w:rFonts w:hint="cs"/>
          <w:rtl/>
        </w:rPr>
        <w:t>מחצית השקל אומר שמג"א כתב "אפילו" כי רוב העולם מרבים בסעודת ליל ט"ו, אבל באמת בליל י"ד יש יותר מצווה מליל ט"ו.</w:t>
      </w:r>
    </w:p>
    <w:p w14:paraId="7AB69E3E" w14:textId="1C2BB4FD" w:rsidR="00AC1AFE" w:rsidRDefault="00AC1AFE" w:rsidP="00687E3C">
      <w:pPr>
        <w:rPr>
          <w:rtl/>
        </w:rPr>
      </w:pPr>
      <w:r>
        <w:rPr>
          <w:rFonts w:hint="cs"/>
          <w:rtl/>
        </w:rPr>
        <w:t>בשו"ת תרומת הדשן</w:t>
      </w:r>
      <w:r>
        <w:rPr>
          <w:rStyle w:val="ab"/>
          <w:rtl/>
        </w:rPr>
        <w:footnoteReference w:id="14"/>
      </w:r>
      <w:r>
        <w:rPr>
          <w:rFonts w:hint="cs"/>
          <w:rtl/>
        </w:rPr>
        <w:t xml:space="preserve"> כתוב שאם אדם חוטף מחבירו משהו אין בזה משום גניבה, והוא כותב שמדובר </w:t>
      </w:r>
      <w:r w:rsidRPr="00631673">
        <w:rPr>
          <w:rFonts w:hint="cs"/>
          <w:u w:val="single"/>
          <w:rtl/>
        </w:rPr>
        <w:t>בשני לילות ויום אחד</w:t>
      </w:r>
      <w:r>
        <w:rPr>
          <w:rFonts w:hint="cs"/>
          <w:rtl/>
        </w:rPr>
        <w:t>.</w:t>
      </w:r>
    </w:p>
    <w:p w14:paraId="53CB16F7" w14:textId="0E7F2F8A" w:rsidR="00CE0360" w:rsidRDefault="00CE0360" w:rsidP="00687E3C">
      <w:pPr>
        <w:rPr>
          <w:rtl/>
        </w:rPr>
      </w:pPr>
      <w:r>
        <w:rPr>
          <w:rFonts w:hint="cs"/>
          <w:rtl/>
        </w:rPr>
        <w:t>המחזור ויטרי</w:t>
      </w:r>
      <w:r w:rsidR="00A4548E">
        <w:rPr>
          <w:rStyle w:val="ab"/>
          <w:rtl/>
        </w:rPr>
        <w:footnoteReference w:id="15"/>
      </w:r>
      <w:r>
        <w:rPr>
          <w:rFonts w:hint="cs"/>
          <w:rtl/>
        </w:rPr>
        <w:t xml:space="preserve"> אומר שיש לשתות בלילה.</w:t>
      </w:r>
    </w:p>
    <w:p w14:paraId="404F8CA9" w14:textId="41CD1D6E" w:rsidR="00DF484A" w:rsidRDefault="00DF484A" w:rsidP="00DF484A">
      <w:pPr>
        <w:pStyle w:val="2"/>
        <w:rPr>
          <w:rtl/>
        </w:rPr>
      </w:pPr>
      <w:r>
        <w:rPr>
          <w:rFonts w:hint="cs"/>
          <w:rtl/>
        </w:rPr>
        <w:t>מה ההלכה?</w:t>
      </w:r>
    </w:p>
    <w:p w14:paraId="74EEDF9F" w14:textId="3201C9CD" w:rsidR="00DF484A" w:rsidRDefault="00DF484A" w:rsidP="00DF484A">
      <w:pPr>
        <w:rPr>
          <w:rtl/>
        </w:rPr>
      </w:pPr>
      <w:r>
        <w:rPr>
          <w:rFonts w:hint="cs"/>
          <w:rtl/>
        </w:rPr>
        <w:t>השו"ע מצטט את הגמרא וכותב שאדם חייב להתבסם עד דלא ידע בין ארור המן לברוך מרדכי.</w:t>
      </w:r>
    </w:p>
    <w:p w14:paraId="09A79571" w14:textId="1DE0A187" w:rsidR="00DF484A" w:rsidRPr="00DF484A" w:rsidRDefault="00DF484A" w:rsidP="00DF484A">
      <w:pPr>
        <w:rPr>
          <w:rtl/>
        </w:rPr>
      </w:pPr>
      <w:r>
        <w:rPr>
          <w:rFonts w:hint="cs"/>
          <w:rtl/>
        </w:rPr>
        <w:t>הרמ"א מביא כמה דעות, ומסיים ב</w:t>
      </w:r>
      <w:r w:rsidR="005F4FFF">
        <w:rPr>
          <w:rFonts w:hint="cs"/>
          <w:rtl/>
        </w:rPr>
        <w:t xml:space="preserve">משפט: </w:t>
      </w:r>
      <w:r>
        <w:rPr>
          <w:rFonts w:hint="cs"/>
          <w:rtl/>
        </w:rPr>
        <w:t>"אחד המרבה ואחד הממעיט ובלבד שיכוין לבו לשמים".</w:t>
      </w:r>
    </w:p>
    <w:sectPr w:rsidR="00DF484A" w:rsidRPr="00DF484A" w:rsidSect="00C461A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C499D" w14:textId="77777777" w:rsidR="006064D1" w:rsidRDefault="006064D1" w:rsidP="00CD34AC">
      <w:pPr>
        <w:spacing w:after="0"/>
      </w:pPr>
      <w:r>
        <w:separator/>
      </w:r>
    </w:p>
  </w:endnote>
  <w:endnote w:type="continuationSeparator" w:id="0">
    <w:p w14:paraId="108D159A" w14:textId="77777777" w:rsidR="006064D1" w:rsidRDefault="006064D1" w:rsidP="00CD34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cular One">
    <w:panose1 w:val="00000500000000000000"/>
    <w:charset w:val="00"/>
    <w:family w:val="auto"/>
    <w:pitch w:val="variable"/>
    <w:sig w:usb0="00000807" w:usb1="40000000" w:usb2="00000000" w:usb3="00000000" w:csb0="000000B3" w:csb1="00000000"/>
  </w:font>
  <w:font w:name="Guttman Keren">
    <w:panose1 w:val="00000400000000000000"/>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uez One">
    <w:panose1 w:val="00000500000000000000"/>
    <w:charset w:val="00"/>
    <w:family w:val="auto"/>
    <w:pitch w:val="variable"/>
    <w:sig w:usb0="00000807" w:usb1="40000000" w:usb2="00000000" w:usb3="00000000" w:csb0="000000B3" w:csb1="00000000"/>
  </w:font>
  <w:font w:name="Shofar">
    <w:panose1 w:val="02000000000000000000"/>
    <w:charset w:val="00"/>
    <w:family w:val="auto"/>
    <w:pitch w:val="variable"/>
    <w:sig w:usb0="8000086F" w:usb1="4000204A" w:usb2="00000000" w:usb3="00000000" w:csb0="00000021" w:csb1="00000000"/>
  </w:font>
  <w:font w:name="Heebo">
    <w:panose1 w:val="00000500000000000000"/>
    <w:charset w:val="00"/>
    <w:family w:val="auto"/>
    <w:pitch w:val="variable"/>
    <w:sig w:usb0="00000803" w:usb1="40000001" w:usb2="00000000" w:usb3="00000000" w:csb0="00000021" w:csb1="00000000"/>
  </w:font>
  <w:font w:name="Heebo Medium">
    <w:panose1 w:val="00000600000000000000"/>
    <w:charset w:val="00"/>
    <w:family w:val="auto"/>
    <w:pitch w:val="variable"/>
    <w:sig w:usb0="00000803" w:usb1="40000001"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9C044" w14:textId="77777777" w:rsidR="00CD34AC" w:rsidRDefault="00CD34A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CB22E" w14:textId="77777777" w:rsidR="00CD34AC" w:rsidRDefault="00CD34AC">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4F9DC" w14:textId="77777777" w:rsidR="00CD34AC" w:rsidRDefault="00CD34A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0AFB8" w14:textId="77777777" w:rsidR="006064D1" w:rsidRDefault="006064D1" w:rsidP="00CD34AC">
      <w:pPr>
        <w:spacing w:after="0"/>
      </w:pPr>
      <w:r>
        <w:separator/>
      </w:r>
    </w:p>
  </w:footnote>
  <w:footnote w:type="continuationSeparator" w:id="0">
    <w:p w14:paraId="44A47661" w14:textId="77777777" w:rsidR="006064D1" w:rsidRDefault="006064D1" w:rsidP="00CD34AC">
      <w:pPr>
        <w:spacing w:after="0"/>
      </w:pPr>
      <w:r>
        <w:continuationSeparator/>
      </w:r>
    </w:p>
  </w:footnote>
  <w:footnote w:id="1">
    <w:p w14:paraId="44E522BE" w14:textId="200C44D6" w:rsidR="008E0A62" w:rsidRDefault="008E0A62">
      <w:pPr>
        <w:pStyle w:val="a5"/>
      </w:pPr>
      <w:r>
        <w:rPr>
          <w:rStyle w:val="ab"/>
        </w:rPr>
        <w:footnoteRef/>
      </w:r>
      <w:r>
        <w:rPr>
          <w:rtl/>
        </w:rPr>
        <w:t xml:space="preserve"> </w:t>
      </w:r>
      <w:r>
        <w:rPr>
          <w:rFonts w:hint="cs"/>
          <w:rtl/>
        </w:rPr>
        <w:t>מגילה ז:</w:t>
      </w:r>
    </w:p>
  </w:footnote>
  <w:footnote w:id="2">
    <w:p w14:paraId="57D6E964" w14:textId="7DA05DAF" w:rsidR="00BF0716" w:rsidRDefault="00BF0716">
      <w:pPr>
        <w:pStyle w:val="a5"/>
      </w:pPr>
      <w:r>
        <w:rPr>
          <w:rStyle w:val="ab"/>
        </w:rPr>
        <w:footnoteRef/>
      </w:r>
      <w:r>
        <w:rPr>
          <w:rtl/>
        </w:rPr>
        <w:t xml:space="preserve"> </w:t>
      </w:r>
      <w:r>
        <w:rPr>
          <w:rFonts w:hint="cs"/>
          <w:rtl/>
        </w:rPr>
        <w:t>מובא בתוס' שם</w:t>
      </w:r>
    </w:p>
  </w:footnote>
  <w:footnote w:id="3">
    <w:p w14:paraId="093189F9" w14:textId="06585418" w:rsidR="00BF0716" w:rsidRDefault="00BF0716">
      <w:pPr>
        <w:pStyle w:val="a5"/>
      </w:pPr>
      <w:r>
        <w:rPr>
          <w:rStyle w:val="ab"/>
        </w:rPr>
        <w:footnoteRef/>
      </w:r>
      <w:r>
        <w:rPr>
          <w:rtl/>
        </w:rPr>
        <w:t xml:space="preserve"> </w:t>
      </w:r>
      <w:r>
        <w:rPr>
          <w:rFonts w:hint="cs"/>
          <w:rtl/>
        </w:rPr>
        <w:t>אבודרהם פורים</w:t>
      </w:r>
    </w:p>
  </w:footnote>
  <w:footnote w:id="4">
    <w:p w14:paraId="758A1899" w14:textId="28490B2A" w:rsidR="00BF0716" w:rsidRDefault="00BF0716">
      <w:pPr>
        <w:pStyle w:val="a5"/>
      </w:pPr>
      <w:r>
        <w:rPr>
          <w:rStyle w:val="ab"/>
        </w:rPr>
        <w:footnoteRef/>
      </w:r>
      <w:r>
        <w:rPr>
          <w:rtl/>
        </w:rPr>
        <w:t xml:space="preserve"> </w:t>
      </w:r>
      <w:r>
        <w:rPr>
          <w:rFonts w:hint="cs"/>
          <w:rtl/>
        </w:rPr>
        <w:t>תרצ"ה סק"א</w:t>
      </w:r>
    </w:p>
  </w:footnote>
  <w:footnote w:id="5">
    <w:p w14:paraId="51DDE1C4" w14:textId="0A234D59" w:rsidR="009F2EEC" w:rsidRDefault="009F2EEC">
      <w:pPr>
        <w:pStyle w:val="a5"/>
      </w:pPr>
      <w:r>
        <w:rPr>
          <w:rStyle w:val="ab"/>
        </w:rPr>
        <w:footnoteRef/>
      </w:r>
      <w:r>
        <w:rPr>
          <w:rtl/>
        </w:rPr>
        <w:t xml:space="preserve"> </w:t>
      </w:r>
      <w:r>
        <w:rPr>
          <w:rFonts w:hint="cs"/>
          <w:rtl/>
        </w:rPr>
        <w:t>שבת פח.</w:t>
      </w:r>
    </w:p>
  </w:footnote>
  <w:footnote w:id="6">
    <w:p w14:paraId="496DB86E" w14:textId="77777777" w:rsidR="009F2EEC" w:rsidRDefault="009F2EEC" w:rsidP="009F2EEC">
      <w:pPr>
        <w:pStyle w:val="a5"/>
        <w:rPr>
          <w:rtl/>
        </w:rPr>
      </w:pPr>
      <w:r>
        <w:rPr>
          <w:rStyle w:val="ab"/>
        </w:rPr>
        <w:footnoteRef/>
      </w:r>
      <w:r>
        <w:rPr>
          <w:rtl/>
        </w:rPr>
        <w:t xml:space="preserve"> </w:t>
      </w:r>
      <w:r>
        <w:rPr>
          <w:rFonts w:hint="cs"/>
          <w:rtl/>
        </w:rPr>
        <w:t>ר"ן על הרי"ף מגילה ג:</w:t>
      </w:r>
    </w:p>
  </w:footnote>
  <w:footnote w:id="7">
    <w:p w14:paraId="70C4C6AA" w14:textId="1800E1CF" w:rsidR="00A53ABA" w:rsidRDefault="00A53ABA">
      <w:pPr>
        <w:pStyle w:val="a5"/>
        <w:rPr>
          <w:rtl/>
        </w:rPr>
      </w:pPr>
      <w:r>
        <w:rPr>
          <w:rStyle w:val="ab"/>
        </w:rPr>
        <w:footnoteRef/>
      </w:r>
      <w:r>
        <w:rPr>
          <w:rtl/>
        </w:rPr>
        <w:t xml:space="preserve"> </w:t>
      </w:r>
      <w:r>
        <w:rPr>
          <w:rFonts w:hint="cs"/>
          <w:rtl/>
        </w:rPr>
        <w:t>הל' מגילה וחנוכה פ"ב הט"ו</w:t>
      </w:r>
    </w:p>
  </w:footnote>
  <w:footnote w:id="8">
    <w:p w14:paraId="6BA7D8BF" w14:textId="4D5E4A85" w:rsidR="0072471D" w:rsidRDefault="0072471D" w:rsidP="0072471D">
      <w:pPr>
        <w:pStyle w:val="a5"/>
      </w:pPr>
      <w:r>
        <w:rPr>
          <w:rStyle w:val="ab"/>
        </w:rPr>
        <w:footnoteRef/>
      </w:r>
      <w:r>
        <w:rPr>
          <w:rFonts w:hint="cs"/>
          <w:rtl/>
        </w:rPr>
        <w:t xml:space="preserve"> </w:t>
      </w:r>
      <w:r w:rsidR="00C15F0B">
        <w:rPr>
          <w:rFonts w:hint="cs"/>
          <w:rtl/>
        </w:rPr>
        <w:t>שם</w:t>
      </w:r>
    </w:p>
  </w:footnote>
  <w:footnote w:id="9">
    <w:p w14:paraId="25456995" w14:textId="0543DBF0" w:rsidR="00DB34B7" w:rsidRDefault="00DB34B7">
      <w:pPr>
        <w:pStyle w:val="a5"/>
      </w:pPr>
      <w:r>
        <w:rPr>
          <w:rStyle w:val="ab"/>
        </w:rPr>
        <w:footnoteRef/>
      </w:r>
      <w:r>
        <w:rPr>
          <w:rtl/>
        </w:rPr>
        <w:t xml:space="preserve"> </w:t>
      </w:r>
      <w:r>
        <w:rPr>
          <w:rFonts w:hint="cs"/>
          <w:rtl/>
        </w:rPr>
        <w:t>או"ח הל' מגילה תרצ"ה</w:t>
      </w:r>
    </w:p>
  </w:footnote>
  <w:footnote w:id="10">
    <w:p w14:paraId="51579FFA" w14:textId="38981C76" w:rsidR="00A4548E" w:rsidRDefault="00A4548E">
      <w:pPr>
        <w:pStyle w:val="a5"/>
        <w:rPr>
          <w:rtl/>
        </w:rPr>
      </w:pPr>
      <w:r>
        <w:rPr>
          <w:rStyle w:val="ab"/>
        </w:rPr>
        <w:footnoteRef/>
      </w:r>
      <w:r>
        <w:rPr>
          <w:rtl/>
        </w:rPr>
        <w:t xml:space="preserve"> </w:t>
      </w:r>
      <w:r>
        <w:rPr>
          <w:rFonts w:hint="cs"/>
          <w:rtl/>
        </w:rPr>
        <w:t>כל המקורות הבאים בלי הערות שוליים, הם על השו"ע שם</w:t>
      </w:r>
    </w:p>
  </w:footnote>
  <w:footnote w:id="11">
    <w:p w14:paraId="6B471C08" w14:textId="68C9E86E" w:rsidR="00A52DAC" w:rsidRDefault="00A52DAC">
      <w:pPr>
        <w:pStyle w:val="a5"/>
      </w:pPr>
      <w:r>
        <w:rPr>
          <w:rStyle w:val="ab"/>
        </w:rPr>
        <w:footnoteRef/>
      </w:r>
      <w:r>
        <w:rPr>
          <w:rtl/>
        </w:rPr>
        <w:t xml:space="preserve"> </w:t>
      </w:r>
      <w:r w:rsidR="004E7CBC">
        <w:rPr>
          <w:rFonts w:hint="cs"/>
          <w:rtl/>
        </w:rPr>
        <w:t xml:space="preserve">ב"י </w:t>
      </w:r>
      <w:r w:rsidR="00C15F0B">
        <w:rPr>
          <w:rFonts w:hint="cs"/>
          <w:rtl/>
        </w:rPr>
        <w:t>שם</w:t>
      </w:r>
    </w:p>
  </w:footnote>
  <w:footnote w:id="12">
    <w:p w14:paraId="09349DD7" w14:textId="7CC297C0" w:rsidR="00CE6BCC" w:rsidRDefault="00CE6BCC">
      <w:pPr>
        <w:pStyle w:val="a5"/>
        <w:rPr>
          <w:rtl/>
        </w:rPr>
      </w:pPr>
      <w:r>
        <w:rPr>
          <w:rStyle w:val="ab"/>
        </w:rPr>
        <w:footnoteRef/>
      </w:r>
      <w:r>
        <w:rPr>
          <w:rtl/>
        </w:rPr>
        <w:t xml:space="preserve"> </w:t>
      </w:r>
      <w:r>
        <w:rPr>
          <w:rFonts w:hint="cs"/>
          <w:rtl/>
        </w:rPr>
        <w:t xml:space="preserve">על הרא"ש </w:t>
      </w:r>
      <w:r w:rsidR="00C73A25">
        <w:rPr>
          <w:rFonts w:hint="cs"/>
          <w:rtl/>
        </w:rPr>
        <w:t xml:space="preserve">במסכת </w:t>
      </w:r>
      <w:r>
        <w:rPr>
          <w:rFonts w:hint="cs"/>
          <w:rtl/>
        </w:rPr>
        <w:t>מגילה</w:t>
      </w:r>
    </w:p>
  </w:footnote>
  <w:footnote w:id="13">
    <w:p w14:paraId="1B43E3AD" w14:textId="394CF200" w:rsidR="00A4548E" w:rsidRDefault="00A4548E">
      <w:pPr>
        <w:pStyle w:val="a5"/>
        <w:rPr>
          <w:rtl/>
        </w:rPr>
      </w:pPr>
      <w:r>
        <w:rPr>
          <w:rStyle w:val="ab"/>
        </w:rPr>
        <w:footnoteRef/>
      </w:r>
      <w:r>
        <w:rPr>
          <w:rtl/>
        </w:rPr>
        <w:t xml:space="preserve"> </w:t>
      </w:r>
      <w:r>
        <w:rPr>
          <w:rFonts w:hint="cs"/>
          <w:rtl/>
        </w:rPr>
        <w:t>על פורים</w:t>
      </w:r>
    </w:p>
  </w:footnote>
  <w:footnote w:id="14">
    <w:p w14:paraId="0A3B0ACF" w14:textId="6E7D8537" w:rsidR="00AC1AFE" w:rsidRDefault="00AC1AFE">
      <w:pPr>
        <w:pStyle w:val="a5"/>
      </w:pPr>
      <w:r>
        <w:rPr>
          <w:rStyle w:val="ab"/>
        </w:rPr>
        <w:footnoteRef/>
      </w:r>
      <w:r>
        <w:rPr>
          <w:rtl/>
        </w:rPr>
        <w:t xml:space="preserve"> </w:t>
      </w:r>
      <w:r>
        <w:rPr>
          <w:rFonts w:hint="cs"/>
          <w:rtl/>
        </w:rPr>
        <w:t>סי' ק"י</w:t>
      </w:r>
    </w:p>
  </w:footnote>
  <w:footnote w:id="15">
    <w:p w14:paraId="70434ED0" w14:textId="175D6CE3" w:rsidR="00A4548E" w:rsidRDefault="00A4548E">
      <w:pPr>
        <w:pStyle w:val="a5"/>
        <w:rPr>
          <w:rtl/>
        </w:rPr>
      </w:pPr>
      <w:r>
        <w:rPr>
          <w:rStyle w:val="ab"/>
        </w:rPr>
        <w:footnoteRef/>
      </w:r>
      <w:r>
        <w:rPr>
          <w:rtl/>
        </w:rPr>
        <w:t xml:space="preserve"> </w:t>
      </w:r>
      <w:r>
        <w:rPr>
          <w:rFonts w:hint="cs"/>
          <w:rtl/>
        </w:rPr>
        <w:t>סימן תס"ה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CDD17" w14:textId="77777777" w:rsidR="00CD34AC" w:rsidRDefault="00CD34AC">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0115F" w14:textId="6426D607" w:rsidR="00CD34AC" w:rsidRDefault="00CD34AC">
    <w:pPr>
      <w:pStyle w:val="a7"/>
    </w:pPr>
    <w:r>
      <w:rPr>
        <w:rFonts w:hint="cs"/>
        <w:rtl/>
      </w:rPr>
      <w:t>בס"ד</w:t>
    </w:r>
    <w:r>
      <w:rPr>
        <w:rtl/>
      </w:rPr>
      <w:ptab w:relativeTo="margin" w:alignment="right" w:leader="none"/>
    </w: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 MMMM yyyy" \h</w:instrText>
    </w:r>
    <w:r>
      <w:rPr>
        <w:rtl/>
      </w:rPr>
      <w:instrText xml:space="preserve"> </w:instrText>
    </w:r>
    <w:r>
      <w:rPr>
        <w:rtl/>
      </w:rPr>
      <w:fldChar w:fldCharType="separate"/>
    </w:r>
    <w:r w:rsidR="00EC6294">
      <w:rPr>
        <w:rFonts w:ascii="Times New Roman" w:hAnsi="Times New Roman" w:cs="Times New Roman" w:hint="cs"/>
        <w:noProof/>
        <w:rtl/>
      </w:rPr>
      <w:t>‏</w:t>
    </w:r>
    <w:r w:rsidR="00EC6294">
      <w:rPr>
        <w:rFonts w:hint="cs"/>
        <w:noProof/>
        <w:rtl/>
      </w:rPr>
      <w:t>י</w:t>
    </w:r>
    <w:r w:rsidR="00EC6294">
      <w:rPr>
        <w:noProof/>
        <w:rtl/>
      </w:rPr>
      <w:t>"</w:t>
    </w:r>
    <w:r w:rsidR="00EC6294">
      <w:rPr>
        <w:rFonts w:hint="cs"/>
        <w:noProof/>
        <w:rtl/>
      </w:rPr>
      <w:t>ג</w:t>
    </w:r>
    <w:r w:rsidR="00EC6294">
      <w:rPr>
        <w:noProof/>
        <w:rtl/>
      </w:rPr>
      <w:t xml:space="preserve"> </w:t>
    </w:r>
    <w:r w:rsidR="00EC6294">
      <w:rPr>
        <w:rFonts w:hint="cs"/>
        <w:noProof/>
        <w:rtl/>
      </w:rPr>
      <w:t>אדר</w:t>
    </w:r>
    <w:r w:rsidR="00EC6294">
      <w:rPr>
        <w:noProof/>
        <w:rtl/>
      </w:rPr>
      <w:t xml:space="preserve"> </w:t>
    </w:r>
    <w:r w:rsidR="00EC6294">
      <w:rPr>
        <w:rFonts w:hint="cs"/>
        <w:noProof/>
        <w:rtl/>
      </w:rPr>
      <w:t>ב</w:t>
    </w:r>
    <w:r w:rsidR="00EC6294">
      <w:rPr>
        <w:noProof/>
        <w:rtl/>
      </w:rPr>
      <w:t xml:space="preserve"> </w:t>
    </w:r>
    <w:r w:rsidR="00EC6294">
      <w:rPr>
        <w:rFonts w:hint="cs"/>
        <w:noProof/>
        <w:rtl/>
      </w:rPr>
      <w:t>תשפ</w:t>
    </w:r>
    <w:r w:rsidR="00EC6294">
      <w:rPr>
        <w:noProof/>
        <w:rtl/>
      </w:rPr>
      <w:t>"</w:t>
    </w:r>
    <w:r w:rsidR="00EC6294">
      <w:rPr>
        <w:rFonts w:hint="cs"/>
        <w:noProof/>
        <w:rtl/>
      </w:rPr>
      <w:t>ב</w:t>
    </w:r>
    <w:r>
      <w:rPr>
        <w:rt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10AC8" w14:textId="77777777" w:rsidR="00CD34AC" w:rsidRDefault="00CD34AC">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16B"/>
    <w:rsid w:val="000967FC"/>
    <w:rsid w:val="000B352F"/>
    <w:rsid w:val="00147567"/>
    <w:rsid w:val="00152226"/>
    <w:rsid w:val="00173EFE"/>
    <w:rsid w:val="001F3942"/>
    <w:rsid w:val="00264875"/>
    <w:rsid w:val="00345EB8"/>
    <w:rsid w:val="003C623B"/>
    <w:rsid w:val="003F5867"/>
    <w:rsid w:val="00466BA1"/>
    <w:rsid w:val="004875C1"/>
    <w:rsid w:val="004A229C"/>
    <w:rsid w:val="004A2D19"/>
    <w:rsid w:val="004E1E13"/>
    <w:rsid w:val="004E7CBC"/>
    <w:rsid w:val="005E49B7"/>
    <w:rsid w:val="005F4FFF"/>
    <w:rsid w:val="006037BD"/>
    <w:rsid w:val="006064D1"/>
    <w:rsid w:val="006140F2"/>
    <w:rsid w:val="00631673"/>
    <w:rsid w:val="006856EA"/>
    <w:rsid w:val="00687E3C"/>
    <w:rsid w:val="00696165"/>
    <w:rsid w:val="006F31E6"/>
    <w:rsid w:val="007173A7"/>
    <w:rsid w:val="0072471D"/>
    <w:rsid w:val="0072639B"/>
    <w:rsid w:val="00734E01"/>
    <w:rsid w:val="0073516B"/>
    <w:rsid w:val="00751E21"/>
    <w:rsid w:val="00790846"/>
    <w:rsid w:val="007A4253"/>
    <w:rsid w:val="007B02BD"/>
    <w:rsid w:val="008767CF"/>
    <w:rsid w:val="008A5EB9"/>
    <w:rsid w:val="008C78A0"/>
    <w:rsid w:val="008E0A62"/>
    <w:rsid w:val="00971C95"/>
    <w:rsid w:val="009875E9"/>
    <w:rsid w:val="009E3F02"/>
    <w:rsid w:val="009F2EEC"/>
    <w:rsid w:val="00A4548E"/>
    <w:rsid w:val="00A45538"/>
    <w:rsid w:val="00A52DAC"/>
    <w:rsid w:val="00A534B1"/>
    <w:rsid w:val="00A53ABA"/>
    <w:rsid w:val="00A71461"/>
    <w:rsid w:val="00AC1AFE"/>
    <w:rsid w:val="00AC3569"/>
    <w:rsid w:val="00B3202C"/>
    <w:rsid w:val="00BE6DF8"/>
    <w:rsid w:val="00BF0716"/>
    <w:rsid w:val="00C15F0B"/>
    <w:rsid w:val="00C461A6"/>
    <w:rsid w:val="00C73A25"/>
    <w:rsid w:val="00C83E0B"/>
    <w:rsid w:val="00C932C0"/>
    <w:rsid w:val="00CC50BF"/>
    <w:rsid w:val="00CD34AC"/>
    <w:rsid w:val="00CE0360"/>
    <w:rsid w:val="00CE6BCC"/>
    <w:rsid w:val="00DB34B7"/>
    <w:rsid w:val="00DE251B"/>
    <w:rsid w:val="00DF484A"/>
    <w:rsid w:val="00E83D90"/>
    <w:rsid w:val="00EC6294"/>
    <w:rsid w:val="00F71207"/>
    <w:rsid w:val="00F724EA"/>
    <w:rsid w:val="00FA11C1"/>
    <w:rsid w:val="00FD14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62E2"/>
  <w15:chartTrackingRefBased/>
  <w15:docId w15:val="{EA17E7B0-8C30-4C14-A273-F7431676B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dassah Friedlaender" w:eastAsiaTheme="minorHAnsi" w:hAnsi="Hadassah Friedlaender" w:cs="Hadassah Friedlaender"/>
        <w:sz w:val="22"/>
        <w:szCs w:val="22"/>
        <w:lang w:val="en-US" w:eastAsia="en-US" w:bidi="he-IL"/>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202C"/>
  </w:style>
  <w:style w:type="paragraph" w:styleId="1">
    <w:name w:val="heading 1"/>
    <w:basedOn w:val="a"/>
    <w:next w:val="a"/>
    <w:link w:val="10"/>
    <w:uiPriority w:val="9"/>
    <w:qFormat/>
    <w:rsid w:val="00DE251B"/>
    <w:pPr>
      <w:outlineLvl w:val="0"/>
    </w:pPr>
    <w:rPr>
      <w:rFonts w:ascii="Secular One" w:hAnsi="Secular One" w:cs="Guttman Keren"/>
      <w:sz w:val="44"/>
      <w:szCs w:val="44"/>
    </w:rPr>
  </w:style>
  <w:style w:type="paragraph" w:styleId="2">
    <w:name w:val="heading 2"/>
    <w:basedOn w:val="a"/>
    <w:next w:val="a"/>
    <w:link w:val="20"/>
    <w:uiPriority w:val="9"/>
    <w:qFormat/>
    <w:rsid w:val="004875C1"/>
    <w:pPr>
      <w:outlineLvl w:val="1"/>
    </w:pPr>
    <w:rPr>
      <w:bCs/>
      <w:szCs w:val="28"/>
    </w:rPr>
  </w:style>
  <w:style w:type="paragraph" w:styleId="3">
    <w:name w:val="heading 3"/>
    <w:basedOn w:val="a"/>
    <w:next w:val="a"/>
    <w:link w:val="30"/>
    <w:uiPriority w:val="9"/>
    <w:unhideWhenUsed/>
    <w:rsid w:val="00687E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B3202C"/>
    <w:pPr>
      <w:jc w:val="center"/>
    </w:pPr>
    <w:rPr>
      <w:rFonts w:ascii="Suez One" w:hAnsi="Suez One" w:cs="Suez One"/>
      <w:sz w:val="72"/>
      <w:szCs w:val="72"/>
    </w:rPr>
  </w:style>
  <w:style w:type="character" w:customStyle="1" w:styleId="a4">
    <w:name w:val="כותרת טקסט תו"/>
    <w:basedOn w:val="a0"/>
    <w:link w:val="a3"/>
    <w:uiPriority w:val="8"/>
    <w:rsid w:val="00B3202C"/>
    <w:rPr>
      <w:rFonts w:ascii="Suez One" w:hAnsi="Suez One" w:cs="Suez One"/>
      <w:sz w:val="72"/>
      <w:szCs w:val="72"/>
    </w:rPr>
  </w:style>
  <w:style w:type="character" w:customStyle="1" w:styleId="10">
    <w:name w:val="כותרת 1 תו"/>
    <w:basedOn w:val="a0"/>
    <w:link w:val="1"/>
    <w:uiPriority w:val="9"/>
    <w:rsid w:val="00DE251B"/>
    <w:rPr>
      <w:rFonts w:ascii="Secular One" w:hAnsi="Secular One" w:cs="Guttman Keren"/>
      <w:sz w:val="44"/>
      <w:szCs w:val="44"/>
    </w:rPr>
  </w:style>
  <w:style w:type="character" w:customStyle="1" w:styleId="20">
    <w:name w:val="כותרת 2 תו"/>
    <w:basedOn w:val="a0"/>
    <w:link w:val="2"/>
    <w:uiPriority w:val="9"/>
    <w:rsid w:val="004875C1"/>
    <w:rPr>
      <w:bCs/>
      <w:szCs w:val="28"/>
    </w:rPr>
  </w:style>
  <w:style w:type="paragraph" w:styleId="a5">
    <w:name w:val="footnote text"/>
    <w:basedOn w:val="a"/>
    <w:link w:val="a6"/>
    <w:autoRedefine/>
    <w:uiPriority w:val="99"/>
    <w:unhideWhenUsed/>
    <w:rsid w:val="00264875"/>
    <w:rPr>
      <w:sz w:val="20"/>
      <w:szCs w:val="20"/>
    </w:rPr>
  </w:style>
  <w:style w:type="character" w:customStyle="1" w:styleId="a6">
    <w:name w:val="טקסט הערת שוליים תו"/>
    <w:basedOn w:val="a0"/>
    <w:link w:val="a5"/>
    <w:uiPriority w:val="99"/>
    <w:rsid w:val="00264875"/>
    <w:rPr>
      <w:sz w:val="20"/>
      <w:szCs w:val="20"/>
    </w:rPr>
  </w:style>
  <w:style w:type="paragraph" w:styleId="a7">
    <w:name w:val="header"/>
    <w:basedOn w:val="a"/>
    <w:link w:val="a8"/>
    <w:uiPriority w:val="99"/>
    <w:unhideWhenUsed/>
    <w:rsid w:val="00B3202C"/>
  </w:style>
  <w:style w:type="character" w:customStyle="1" w:styleId="a8">
    <w:name w:val="כותרת עליונה תו"/>
    <w:basedOn w:val="a0"/>
    <w:link w:val="a7"/>
    <w:uiPriority w:val="99"/>
    <w:rsid w:val="00B3202C"/>
  </w:style>
  <w:style w:type="paragraph" w:styleId="a9">
    <w:name w:val="footer"/>
    <w:basedOn w:val="a7"/>
    <w:link w:val="aa"/>
    <w:uiPriority w:val="99"/>
    <w:unhideWhenUsed/>
    <w:rsid w:val="00B3202C"/>
  </w:style>
  <w:style w:type="character" w:customStyle="1" w:styleId="aa">
    <w:name w:val="כותרת תחתונה תו"/>
    <w:basedOn w:val="a0"/>
    <w:link w:val="a9"/>
    <w:uiPriority w:val="99"/>
    <w:rsid w:val="00B3202C"/>
  </w:style>
  <w:style w:type="character" w:styleId="ab">
    <w:name w:val="footnote reference"/>
    <w:basedOn w:val="a0"/>
    <w:uiPriority w:val="99"/>
    <w:semiHidden/>
    <w:unhideWhenUsed/>
    <w:rsid w:val="00B3202C"/>
    <w:rPr>
      <w:vertAlign w:val="superscript"/>
    </w:rPr>
  </w:style>
  <w:style w:type="character" w:styleId="ac">
    <w:name w:val="Strong"/>
    <w:aliases w:val="ציטוט."/>
    <w:uiPriority w:val="10"/>
    <w:qFormat/>
    <w:rsid w:val="00B3202C"/>
    <w:rPr>
      <w:rFonts w:ascii="Shofar" w:hAnsi="Shofar" w:cs="Guttman Keren"/>
    </w:rPr>
  </w:style>
  <w:style w:type="paragraph" w:styleId="ad">
    <w:name w:val="No Spacing"/>
    <w:uiPriority w:val="11"/>
    <w:rsid w:val="00B3202C"/>
    <w:pPr>
      <w:tabs>
        <w:tab w:val="center" w:pos="4153"/>
        <w:tab w:val="right" w:pos="8306"/>
      </w:tabs>
      <w:spacing w:after="0"/>
    </w:pPr>
    <w:rPr>
      <w:rFonts w:ascii="Heebo" w:hAnsi="Heebo"/>
    </w:rPr>
  </w:style>
  <w:style w:type="character" w:styleId="ae">
    <w:name w:val="Subtle Emphasis"/>
    <w:basedOn w:val="a0"/>
    <w:uiPriority w:val="19"/>
    <w:rsid w:val="00B3202C"/>
    <w:rPr>
      <w:i/>
      <w:iCs/>
      <w:color w:val="404040" w:themeColor="text1" w:themeTint="BF"/>
    </w:rPr>
  </w:style>
  <w:style w:type="paragraph" w:styleId="af">
    <w:name w:val="Quote"/>
    <w:basedOn w:val="a"/>
    <w:next w:val="a"/>
    <w:link w:val="af0"/>
    <w:autoRedefine/>
    <w:uiPriority w:val="29"/>
    <w:qFormat/>
    <w:rsid w:val="008767CF"/>
    <w:pPr>
      <w:spacing w:before="200" w:after="160"/>
      <w:ind w:left="864" w:right="864"/>
      <w:jc w:val="center"/>
    </w:pPr>
    <w:rPr>
      <w:i/>
      <w:iCs/>
      <w:color w:val="404040" w:themeColor="text1" w:themeTint="BF"/>
    </w:rPr>
  </w:style>
  <w:style w:type="character" w:customStyle="1" w:styleId="af0">
    <w:name w:val="ציטוט תו"/>
    <w:basedOn w:val="a0"/>
    <w:link w:val="af"/>
    <w:uiPriority w:val="29"/>
    <w:rsid w:val="008767CF"/>
    <w:rPr>
      <w:i/>
      <w:iCs/>
      <w:color w:val="404040" w:themeColor="text1" w:themeTint="BF"/>
    </w:rPr>
  </w:style>
  <w:style w:type="character" w:customStyle="1" w:styleId="af1">
    <w:name w:val="מודגש"/>
    <w:basedOn w:val="a0"/>
    <w:uiPriority w:val="1"/>
    <w:rsid w:val="006140F2"/>
    <w:rPr>
      <w:rFonts w:cs="Heebo Medium"/>
      <w:bCs w:val="0"/>
    </w:rPr>
  </w:style>
  <w:style w:type="paragraph" w:customStyle="1" w:styleId="af2">
    <w:name w:val="הערת שוליים"/>
    <w:basedOn w:val="a"/>
    <w:link w:val="af3"/>
    <w:qFormat/>
    <w:rsid w:val="00B3202C"/>
    <w:rPr>
      <w:szCs w:val="20"/>
    </w:rPr>
  </w:style>
  <w:style w:type="character" w:customStyle="1" w:styleId="af3">
    <w:name w:val="הערת שוליים תו"/>
    <w:basedOn w:val="a0"/>
    <w:link w:val="af2"/>
    <w:rsid w:val="00B3202C"/>
    <w:rPr>
      <w:szCs w:val="20"/>
    </w:rPr>
  </w:style>
  <w:style w:type="character" w:customStyle="1" w:styleId="30">
    <w:name w:val="כותרת 3 תו"/>
    <w:basedOn w:val="a0"/>
    <w:link w:val="3"/>
    <w:uiPriority w:val="9"/>
    <w:rsid w:val="00687E3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529</Words>
  <Characters>2645</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48</cp:revision>
  <cp:lastPrinted>2022-03-16T14:49:00Z</cp:lastPrinted>
  <dcterms:created xsi:type="dcterms:W3CDTF">2022-03-16T13:48:00Z</dcterms:created>
  <dcterms:modified xsi:type="dcterms:W3CDTF">2022-03-16T14:52:00Z</dcterms:modified>
</cp:coreProperties>
</file>