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2B8F" w14:textId="36A98C66" w:rsidR="00226240" w:rsidRDefault="00226240" w:rsidP="00226240">
      <w:pPr>
        <w:pStyle w:val="1"/>
        <w:rPr>
          <w:rtl/>
        </w:rPr>
      </w:pPr>
      <w:r>
        <w:rPr>
          <w:rFonts w:hint="cs"/>
          <w:rtl/>
        </w:rPr>
        <w:t>הלכות פסח – מצה שמורה</w:t>
      </w:r>
    </w:p>
    <w:p w14:paraId="1478648C" w14:textId="3873DC93" w:rsidR="00226240" w:rsidRDefault="00226240">
      <w:pPr>
        <w:rPr>
          <w:rtl/>
        </w:rPr>
      </w:pPr>
      <w:r>
        <w:rPr>
          <w:rFonts w:hint="cs"/>
          <w:rtl/>
        </w:rPr>
        <w:t>המצה שאוכלים בליל הסדר צריכה להיאפות במיוחד לשם מצת מצווה.</w:t>
      </w:r>
    </w:p>
    <w:p w14:paraId="24BC7300" w14:textId="433A25B2" w:rsidR="00226240" w:rsidRDefault="00226240">
      <w:pPr>
        <w:rPr>
          <w:rtl/>
        </w:rPr>
      </w:pPr>
      <w:r>
        <w:rPr>
          <w:rFonts w:hint="cs"/>
          <w:rtl/>
        </w:rPr>
        <w:t>כתוב בתורה</w:t>
      </w:r>
      <w:r w:rsidR="000D679B">
        <w:rPr>
          <w:rStyle w:val="ab"/>
          <w:rtl/>
        </w:rPr>
        <w:footnoteReference w:id="1"/>
      </w:r>
      <w:r>
        <w:rPr>
          <w:rFonts w:hint="cs"/>
          <w:rtl/>
        </w:rPr>
        <w:t xml:space="preserve"> "ושמרתם את המצות", באיזה שלב צריך להתחיל לשמור את המצות שלא יתערבבו עם מים?</w:t>
      </w:r>
    </w:p>
    <w:p w14:paraId="1FED8926" w14:textId="4DDE46DF" w:rsidR="00A71461" w:rsidRPr="00777A83" w:rsidRDefault="00226240">
      <w:pPr>
        <w:rPr>
          <w:rtl/>
        </w:rPr>
      </w:pPr>
      <w:r>
        <w:rPr>
          <w:rFonts w:hint="cs"/>
          <w:rtl/>
        </w:rPr>
        <w:t>הטור</w:t>
      </w:r>
      <w:r>
        <w:rPr>
          <w:rStyle w:val="ab"/>
          <w:rtl/>
        </w:rPr>
        <w:footnoteReference w:id="2"/>
      </w:r>
      <w:r>
        <w:rPr>
          <w:rFonts w:hint="cs"/>
          <w:rtl/>
        </w:rPr>
        <w:t xml:space="preserve"> מציג את המחלוקת בין הרי"ף</w:t>
      </w:r>
      <w:r w:rsidR="000D679B">
        <w:rPr>
          <w:rStyle w:val="ab"/>
          <w:rtl/>
        </w:rPr>
        <w:footnoteReference w:id="3"/>
      </w:r>
      <w:r>
        <w:rPr>
          <w:rFonts w:hint="cs"/>
          <w:rtl/>
        </w:rPr>
        <w:t xml:space="preserve"> לרא"ש: </w:t>
      </w:r>
      <w:r w:rsidR="00F31113">
        <w:rPr>
          <w:rFonts w:hint="cs"/>
          <w:rtl/>
        </w:rPr>
        <w:t>הרי"ף אומר שצריך לשמור על החיטים משעת קצירה שלא יבואו עליהם מים, והרא"ש סובר שצריך לשמור רק משעת טחינה.</w:t>
      </w:r>
      <w:r>
        <w:rPr>
          <w:rFonts w:hint="cs"/>
          <w:rtl/>
        </w:rPr>
        <w:t xml:space="preserve"> כמו כן הוא מביא את השאלה </w:t>
      </w:r>
      <w:r w:rsidR="00777A83">
        <w:rPr>
          <w:rFonts w:hint="cs"/>
          <w:rtl/>
        </w:rPr>
        <w:t xml:space="preserve">הכתובה בשאילתות דרב אחאי גאון, האם יוצאים ידי חובה בקמח מן השוק (שנשמר רק משעת לישה), והתשובה היא שרק בשעת הדחק יוצאים יד"ח. </w:t>
      </w:r>
    </w:p>
    <w:p w14:paraId="2C674EF1" w14:textId="26CBF7C5" w:rsidR="00226240" w:rsidRDefault="00226240">
      <w:pPr>
        <w:rPr>
          <w:rtl/>
        </w:rPr>
      </w:pPr>
      <w:r>
        <w:rPr>
          <w:rFonts w:hint="cs"/>
          <w:rtl/>
        </w:rPr>
        <w:t>השלבים הם:</w:t>
      </w:r>
    </w:p>
    <w:p w14:paraId="79ECF7EF" w14:textId="3BE3E6D5" w:rsidR="00226240" w:rsidRDefault="00226240" w:rsidP="00226240">
      <w:pPr>
        <w:pStyle w:val="af4"/>
        <w:numPr>
          <w:ilvl w:val="0"/>
          <w:numId w:val="1"/>
        </w:numPr>
      </w:pPr>
      <w:r>
        <w:rPr>
          <w:rFonts w:hint="cs"/>
          <w:rtl/>
        </w:rPr>
        <w:t>קצירה</w:t>
      </w:r>
    </w:p>
    <w:p w14:paraId="311B56AA" w14:textId="644237B4" w:rsidR="00226240" w:rsidRDefault="00226240" w:rsidP="00226240">
      <w:pPr>
        <w:pStyle w:val="af4"/>
        <w:numPr>
          <w:ilvl w:val="0"/>
          <w:numId w:val="1"/>
        </w:numPr>
      </w:pPr>
      <w:r>
        <w:rPr>
          <w:rFonts w:hint="cs"/>
          <w:rtl/>
        </w:rPr>
        <w:t>(לתיתה – בימינו אין לותתים את החיטים)</w:t>
      </w:r>
    </w:p>
    <w:p w14:paraId="2D13CC68" w14:textId="1B92280E" w:rsidR="00226240" w:rsidRDefault="00226240" w:rsidP="00226240">
      <w:pPr>
        <w:pStyle w:val="af4"/>
        <w:numPr>
          <w:ilvl w:val="0"/>
          <w:numId w:val="1"/>
        </w:numPr>
      </w:pPr>
      <w:r>
        <w:rPr>
          <w:rFonts w:hint="cs"/>
          <w:rtl/>
        </w:rPr>
        <w:t>טחינה</w:t>
      </w:r>
    </w:p>
    <w:p w14:paraId="51175A8E" w14:textId="78590DB2" w:rsidR="00226240" w:rsidRDefault="00226240" w:rsidP="00226240">
      <w:pPr>
        <w:pStyle w:val="af4"/>
        <w:numPr>
          <w:ilvl w:val="0"/>
          <w:numId w:val="1"/>
        </w:numPr>
      </w:pPr>
      <w:r>
        <w:rPr>
          <w:rFonts w:hint="cs"/>
          <w:rtl/>
        </w:rPr>
        <w:t>לישה</w:t>
      </w:r>
    </w:p>
    <w:p w14:paraId="0B6F706F" w14:textId="2D7EF2A4" w:rsidR="00777A83" w:rsidRDefault="00777A83" w:rsidP="00777A83">
      <w:pPr>
        <w:rPr>
          <w:rtl/>
        </w:rPr>
      </w:pPr>
      <w:r>
        <w:rPr>
          <w:rFonts w:hint="cs"/>
          <w:rtl/>
        </w:rPr>
        <w:t>הבית יוסף אומר שהרי"ף והרמב"ם מחייבים שימור משעת קצירה, אבל הר"ן אומר שאפשר לצאת יד"ח גם בחיטים מן השוק ששמר אותן לשם מצה. הרא"ש אומר שמה שכתוב בגמרא</w:t>
      </w:r>
      <w:r w:rsidR="00F1596F">
        <w:rPr>
          <w:rStyle w:val="ab"/>
          <w:rtl/>
        </w:rPr>
        <w:footnoteReference w:id="4"/>
      </w:r>
      <w:r w:rsidR="000D679B">
        <w:rPr>
          <w:rFonts w:hint="cs"/>
          <w:rtl/>
        </w:rPr>
        <w:t xml:space="preserve"> </w:t>
      </w:r>
      <w:r>
        <w:rPr>
          <w:rFonts w:hint="cs"/>
          <w:rtl/>
        </w:rPr>
        <w:t>שרבא לא חזר בו, הכוונה שהוא החמיר על עצמו, ושאר החכמים לא נהגו כך.</w:t>
      </w:r>
    </w:p>
    <w:p w14:paraId="39C46F06" w14:textId="05C85A4F" w:rsidR="00777A83" w:rsidRDefault="00777A83" w:rsidP="00777A83">
      <w:pPr>
        <w:rPr>
          <w:rtl/>
        </w:rPr>
      </w:pPr>
      <w:r>
        <w:rPr>
          <w:rFonts w:hint="cs"/>
          <w:rtl/>
        </w:rPr>
        <w:t>השו"ע פוסק כמו הר"ן, ואומר שטוב לשמרן משעת קצירה, ולפחות משעת טחינה, ובשעת הדחק אפשר לקחת קמח מן השוק.</w:t>
      </w:r>
    </w:p>
    <w:p w14:paraId="723D4E15" w14:textId="26529A06" w:rsidR="00777A83" w:rsidRDefault="00777A83" w:rsidP="00777A83">
      <w:pPr>
        <w:rPr>
          <w:rtl/>
        </w:rPr>
      </w:pPr>
      <w:r>
        <w:rPr>
          <w:rFonts w:hint="cs"/>
          <w:rtl/>
        </w:rPr>
        <w:t xml:space="preserve">הבאר היטב אומר </w:t>
      </w:r>
      <w:r w:rsidR="00BF108C">
        <w:rPr>
          <w:rFonts w:hint="cs"/>
          <w:rtl/>
        </w:rPr>
        <w:t>שמדובר רק במצת מצווה של ליל הסדר, אבל במ</w:t>
      </w:r>
      <w:r w:rsidR="00C7080E">
        <w:rPr>
          <w:rFonts w:hint="cs"/>
          <w:rtl/>
        </w:rPr>
        <w:t>ַ</w:t>
      </w:r>
      <w:r w:rsidR="00BF108C">
        <w:rPr>
          <w:rFonts w:hint="cs"/>
          <w:rtl/>
        </w:rPr>
        <w:t>צות האחרות אפשר לקחת קמח מן השוק גם לא בשעת הדחק.</w:t>
      </w:r>
    </w:p>
    <w:p w14:paraId="605CD1FF" w14:textId="49EBA79A" w:rsidR="00BF108C" w:rsidRDefault="00BF108C" w:rsidP="00777A83">
      <w:pPr>
        <w:rPr>
          <w:rtl/>
        </w:rPr>
      </w:pPr>
      <w:r>
        <w:rPr>
          <w:rFonts w:hint="cs"/>
          <w:rtl/>
        </w:rPr>
        <w:t>המשנ"ב אומר שכאשר החיטים מחוברות לקרקע אין לחשוש ממי גשמים, כי החיטה עוד לא בשלה.</w:t>
      </w:r>
    </w:p>
    <w:p w14:paraId="7089AD76" w14:textId="522E261C" w:rsidR="00C7080E" w:rsidRDefault="00C7080E" w:rsidP="00777A83">
      <w:pPr>
        <w:rPr>
          <w:rtl/>
        </w:rPr>
      </w:pPr>
      <w:r>
        <w:rPr>
          <w:rFonts w:hint="cs"/>
          <w:rtl/>
        </w:rPr>
        <w:t>הבאור הלכה אומר שעדיף לקחת קמח שפון או שיבולת שועל מאשר קמח חיטה, כי לרוב לותתים קמח חיטה.</w:t>
      </w:r>
    </w:p>
    <w:p w14:paraId="4F78EE51" w14:textId="6CFCC0BE" w:rsidR="00C7080E" w:rsidRDefault="005E01EF" w:rsidP="00777A83">
      <w:pPr>
        <w:rPr>
          <w:rtl/>
        </w:rPr>
      </w:pPr>
      <w:r>
        <w:rPr>
          <w:rFonts w:hint="cs"/>
          <w:rtl/>
        </w:rPr>
        <w:t>יש מחלוקת לגבי מצות הנעשות במכונה (כנ"ל גם בציצית), מה הדין ומה רמת ההידור.</w:t>
      </w:r>
    </w:p>
    <w:p w14:paraId="346F788B" w14:textId="3DAD1224" w:rsidR="005E01EF" w:rsidRDefault="005E01EF" w:rsidP="00C45E4B">
      <w:pPr>
        <w:rPr>
          <w:rtl/>
        </w:rPr>
      </w:pPr>
      <w:r>
        <w:rPr>
          <w:rFonts w:hint="cs"/>
          <w:rtl/>
        </w:rPr>
        <w:t xml:space="preserve">החסידים נוהגים לאכול מצות יד בכל החג. בשאר הציבור זה מתחלק, רוב האנשים אוכלים מצות מכונה בשאר השבוע של פסח (חוץ מליל הסדר) ובליל הסדר זה מתחלק, החזון איש ור' חיים מבריסק וראשי הישיבות הליטאיות </w:t>
      </w:r>
      <w:r w:rsidRPr="005E01EF">
        <w:rPr>
          <w:rFonts w:hint="cs"/>
          <w:u w:val="single"/>
          <w:rtl/>
        </w:rPr>
        <w:t>הקפידו לאכול מצות מכונה</w:t>
      </w:r>
      <w:r w:rsidRPr="005E01EF">
        <w:rPr>
          <w:rStyle w:val="ab"/>
          <w:rtl/>
        </w:rPr>
        <w:footnoteReference w:id="5"/>
      </w:r>
      <w:r>
        <w:rPr>
          <w:rFonts w:hint="cs"/>
          <w:rtl/>
        </w:rPr>
        <w:t xml:space="preserve"> בליל הסדר.</w:t>
      </w:r>
    </w:p>
    <w:tbl>
      <w:tblPr>
        <w:tblStyle w:val="af5"/>
        <w:bidiVisual/>
        <w:tblW w:w="0" w:type="auto"/>
        <w:tblLook w:val="04A0" w:firstRow="1" w:lastRow="0" w:firstColumn="1" w:lastColumn="0" w:noHBand="0" w:noVBand="1"/>
      </w:tblPr>
      <w:tblGrid>
        <w:gridCol w:w="2254"/>
        <w:gridCol w:w="2254"/>
        <w:gridCol w:w="2254"/>
        <w:gridCol w:w="2254"/>
      </w:tblGrid>
      <w:tr w:rsidR="005E01EF" w14:paraId="1A3277CE" w14:textId="77777777" w:rsidTr="005E01EF">
        <w:tc>
          <w:tcPr>
            <w:tcW w:w="2254" w:type="dxa"/>
          </w:tcPr>
          <w:p w14:paraId="1D00EDDB" w14:textId="77777777" w:rsidR="005E01EF" w:rsidRDefault="005E01EF" w:rsidP="00777A83">
            <w:pPr>
              <w:rPr>
                <w:rFonts w:hint="cs"/>
                <w:rtl/>
              </w:rPr>
            </w:pPr>
          </w:p>
        </w:tc>
        <w:tc>
          <w:tcPr>
            <w:tcW w:w="2254" w:type="dxa"/>
          </w:tcPr>
          <w:p w14:paraId="47B1AF0B" w14:textId="717EE37C" w:rsidR="005E01EF" w:rsidRDefault="005E01EF" w:rsidP="00777A83">
            <w:pPr>
              <w:rPr>
                <w:rFonts w:hint="cs"/>
                <w:rtl/>
              </w:rPr>
            </w:pPr>
            <w:r>
              <w:rPr>
                <w:rFonts w:hint="cs"/>
                <w:rtl/>
              </w:rPr>
              <w:t>חסידים</w:t>
            </w:r>
          </w:p>
        </w:tc>
        <w:tc>
          <w:tcPr>
            <w:tcW w:w="2254" w:type="dxa"/>
          </w:tcPr>
          <w:p w14:paraId="06951397" w14:textId="1157745A" w:rsidR="005E01EF" w:rsidRDefault="005E01EF" w:rsidP="00777A83">
            <w:pPr>
              <w:rPr>
                <w:rFonts w:hint="cs"/>
                <w:rtl/>
              </w:rPr>
            </w:pPr>
          </w:p>
        </w:tc>
        <w:tc>
          <w:tcPr>
            <w:tcW w:w="2254" w:type="dxa"/>
          </w:tcPr>
          <w:p w14:paraId="201D2C1F" w14:textId="21067F89" w:rsidR="005E01EF" w:rsidRDefault="004A094B" w:rsidP="00777A83">
            <w:pPr>
              <w:rPr>
                <w:rFonts w:hint="cs"/>
                <w:rtl/>
              </w:rPr>
            </w:pPr>
            <w:r>
              <w:rPr>
                <w:rFonts w:hint="cs"/>
                <w:rtl/>
              </w:rPr>
              <w:t>ליטאים</w:t>
            </w:r>
          </w:p>
        </w:tc>
      </w:tr>
      <w:tr w:rsidR="005E01EF" w14:paraId="04978432" w14:textId="77777777" w:rsidTr="005E01EF">
        <w:tc>
          <w:tcPr>
            <w:tcW w:w="2254" w:type="dxa"/>
          </w:tcPr>
          <w:p w14:paraId="1D2AEBCF" w14:textId="60DA4F6E" w:rsidR="005E01EF" w:rsidRDefault="005E01EF" w:rsidP="00777A83">
            <w:pPr>
              <w:rPr>
                <w:rFonts w:hint="cs"/>
                <w:rtl/>
              </w:rPr>
            </w:pPr>
            <w:r>
              <w:rPr>
                <w:rFonts w:hint="cs"/>
                <w:rtl/>
              </w:rPr>
              <w:t>ליל הסדר</w:t>
            </w:r>
          </w:p>
        </w:tc>
        <w:tc>
          <w:tcPr>
            <w:tcW w:w="2254" w:type="dxa"/>
          </w:tcPr>
          <w:p w14:paraId="12A5331A" w14:textId="5C6146DA" w:rsidR="005E01EF" w:rsidRDefault="004A094B" w:rsidP="00777A83">
            <w:pPr>
              <w:rPr>
                <w:rFonts w:hint="cs"/>
                <w:rtl/>
              </w:rPr>
            </w:pPr>
            <w:r>
              <w:rPr>
                <w:rFonts w:hint="cs"/>
                <w:rtl/>
              </w:rPr>
              <w:t>יד</w:t>
            </w:r>
          </w:p>
        </w:tc>
        <w:tc>
          <w:tcPr>
            <w:tcW w:w="2254" w:type="dxa"/>
          </w:tcPr>
          <w:p w14:paraId="66A62A2F" w14:textId="7AAA3A73" w:rsidR="005E01EF" w:rsidRDefault="004A094B" w:rsidP="00777A83">
            <w:pPr>
              <w:rPr>
                <w:rFonts w:hint="cs"/>
                <w:rtl/>
              </w:rPr>
            </w:pPr>
            <w:r>
              <w:rPr>
                <w:rFonts w:hint="cs"/>
                <w:rtl/>
              </w:rPr>
              <w:t>יד</w:t>
            </w:r>
          </w:p>
        </w:tc>
        <w:tc>
          <w:tcPr>
            <w:tcW w:w="2254" w:type="dxa"/>
          </w:tcPr>
          <w:p w14:paraId="0FAD40B1" w14:textId="1A761FA6" w:rsidR="005E01EF" w:rsidRDefault="004A094B" w:rsidP="00777A83">
            <w:pPr>
              <w:rPr>
                <w:rFonts w:hint="cs"/>
                <w:rtl/>
              </w:rPr>
            </w:pPr>
            <w:r>
              <w:rPr>
                <w:rFonts w:hint="cs"/>
                <w:rtl/>
              </w:rPr>
              <w:t>מכונה</w:t>
            </w:r>
          </w:p>
        </w:tc>
      </w:tr>
      <w:tr w:rsidR="005E01EF" w14:paraId="76CE2A3A" w14:textId="77777777" w:rsidTr="005E01EF">
        <w:tc>
          <w:tcPr>
            <w:tcW w:w="2254" w:type="dxa"/>
          </w:tcPr>
          <w:p w14:paraId="43B726FD" w14:textId="624BC6FC" w:rsidR="005E01EF" w:rsidRDefault="005E01EF" w:rsidP="00777A83">
            <w:pPr>
              <w:rPr>
                <w:rFonts w:hint="cs"/>
                <w:rtl/>
              </w:rPr>
            </w:pPr>
            <w:r>
              <w:rPr>
                <w:rFonts w:hint="cs"/>
                <w:rtl/>
              </w:rPr>
              <w:t xml:space="preserve">שאר </w:t>
            </w:r>
            <w:r w:rsidR="004A094B">
              <w:rPr>
                <w:rFonts w:hint="cs"/>
                <w:rtl/>
              </w:rPr>
              <w:t>החג</w:t>
            </w:r>
          </w:p>
        </w:tc>
        <w:tc>
          <w:tcPr>
            <w:tcW w:w="2254" w:type="dxa"/>
          </w:tcPr>
          <w:p w14:paraId="645F93EC" w14:textId="5088A4C0" w:rsidR="005E01EF" w:rsidRDefault="004A094B" w:rsidP="00777A83">
            <w:pPr>
              <w:rPr>
                <w:rFonts w:hint="cs"/>
                <w:rtl/>
              </w:rPr>
            </w:pPr>
            <w:r>
              <w:rPr>
                <w:rFonts w:hint="cs"/>
                <w:rtl/>
              </w:rPr>
              <w:t>יד</w:t>
            </w:r>
          </w:p>
        </w:tc>
        <w:tc>
          <w:tcPr>
            <w:tcW w:w="2254" w:type="dxa"/>
          </w:tcPr>
          <w:p w14:paraId="41BAA0AC" w14:textId="70EAF53F" w:rsidR="005E01EF" w:rsidRDefault="004A094B" w:rsidP="00777A83">
            <w:pPr>
              <w:rPr>
                <w:rFonts w:hint="cs"/>
                <w:rtl/>
              </w:rPr>
            </w:pPr>
            <w:r>
              <w:rPr>
                <w:rFonts w:hint="cs"/>
                <w:rtl/>
              </w:rPr>
              <w:t>מכונה</w:t>
            </w:r>
          </w:p>
        </w:tc>
        <w:tc>
          <w:tcPr>
            <w:tcW w:w="2254" w:type="dxa"/>
          </w:tcPr>
          <w:p w14:paraId="2FB2BB74" w14:textId="376385ED" w:rsidR="005E01EF" w:rsidRDefault="004A094B" w:rsidP="00777A83">
            <w:pPr>
              <w:rPr>
                <w:rFonts w:hint="cs"/>
                <w:rtl/>
              </w:rPr>
            </w:pPr>
            <w:r>
              <w:rPr>
                <w:rFonts w:hint="cs"/>
                <w:rtl/>
              </w:rPr>
              <w:t>מכונה</w:t>
            </w:r>
          </w:p>
        </w:tc>
      </w:tr>
    </w:tbl>
    <w:p w14:paraId="2544D04A" w14:textId="77777777" w:rsidR="005E01EF" w:rsidRDefault="005E01EF" w:rsidP="00777A83">
      <w:pPr>
        <w:rPr>
          <w:rFonts w:hint="cs"/>
          <w:rtl/>
        </w:rPr>
      </w:pPr>
    </w:p>
    <w:sectPr w:rsidR="005E01EF" w:rsidSect="00446D94">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7D2B5" w14:textId="77777777" w:rsidR="00F91050" w:rsidRDefault="00F91050" w:rsidP="00CD34AC">
      <w:pPr>
        <w:spacing w:after="0"/>
      </w:pPr>
      <w:r>
        <w:separator/>
      </w:r>
    </w:p>
  </w:endnote>
  <w:endnote w:type="continuationSeparator" w:id="0">
    <w:p w14:paraId="5899CFB4" w14:textId="77777777" w:rsidR="00F91050" w:rsidRDefault="00F91050"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6A37"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416C"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9D33"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0136" w14:textId="77777777" w:rsidR="00F91050" w:rsidRDefault="00F91050" w:rsidP="00CD34AC">
      <w:pPr>
        <w:spacing w:after="0"/>
      </w:pPr>
      <w:r>
        <w:separator/>
      </w:r>
    </w:p>
  </w:footnote>
  <w:footnote w:type="continuationSeparator" w:id="0">
    <w:p w14:paraId="0A6B14A6" w14:textId="77777777" w:rsidR="00F91050" w:rsidRDefault="00F91050" w:rsidP="00CD34AC">
      <w:pPr>
        <w:spacing w:after="0"/>
      </w:pPr>
      <w:r>
        <w:continuationSeparator/>
      </w:r>
    </w:p>
  </w:footnote>
  <w:footnote w:id="1">
    <w:p w14:paraId="28C4E97E" w14:textId="11CF0422" w:rsidR="000D679B" w:rsidRDefault="000D679B">
      <w:pPr>
        <w:pStyle w:val="a5"/>
        <w:rPr>
          <w:rFonts w:hint="cs"/>
        </w:rPr>
      </w:pPr>
      <w:r>
        <w:rPr>
          <w:rStyle w:val="ab"/>
        </w:rPr>
        <w:footnoteRef/>
      </w:r>
      <w:r>
        <w:rPr>
          <w:rtl/>
        </w:rPr>
        <w:t xml:space="preserve"> </w:t>
      </w:r>
      <w:r>
        <w:rPr>
          <w:rFonts w:hint="cs"/>
          <w:rtl/>
        </w:rPr>
        <w:t>שמות י"ב י"ז</w:t>
      </w:r>
    </w:p>
  </w:footnote>
  <w:footnote w:id="2">
    <w:p w14:paraId="16466D5C" w14:textId="0F997D0D" w:rsidR="00226240" w:rsidRDefault="00226240">
      <w:pPr>
        <w:pStyle w:val="a5"/>
        <w:rPr>
          <w:rFonts w:hint="cs"/>
        </w:rPr>
      </w:pPr>
      <w:r>
        <w:rPr>
          <w:rStyle w:val="ab"/>
        </w:rPr>
        <w:footnoteRef/>
      </w:r>
      <w:r>
        <w:rPr>
          <w:rtl/>
        </w:rPr>
        <w:t xml:space="preserve"> </w:t>
      </w:r>
      <w:r>
        <w:rPr>
          <w:rFonts w:hint="cs"/>
          <w:rtl/>
        </w:rPr>
        <w:t>או"ח סי' תנ"ג סק"ד</w:t>
      </w:r>
      <w:r w:rsidR="000D679B">
        <w:rPr>
          <w:rFonts w:hint="cs"/>
          <w:rtl/>
        </w:rPr>
        <w:t>, ושם גם הב"י, שו"ע, באר היטב, משנ"ב ובאור הלכה</w:t>
      </w:r>
    </w:p>
  </w:footnote>
  <w:footnote w:id="3">
    <w:p w14:paraId="6351AD87" w14:textId="2ED7E77F" w:rsidR="000D679B" w:rsidRDefault="000D679B">
      <w:pPr>
        <w:pStyle w:val="a5"/>
        <w:rPr>
          <w:rFonts w:hint="cs"/>
        </w:rPr>
      </w:pPr>
      <w:r>
        <w:rPr>
          <w:rStyle w:val="ab"/>
        </w:rPr>
        <w:footnoteRef/>
      </w:r>
      <w:r>
        <w:rPr>
          <w:rtl/>
        </w:rPr>
        <w:t xml:space="preserve"> </w:t>
      </w:r>
      <w:r>
        <w:rPr>
          <w:rFonts w:hint="cs"/>
          <w:rtl/>
        </w:rPr>
        <w:t>פסחים יב. לדפי הרי"ף</w:t>
      </w:r>
    </w:p>
  </w:footnote>
  <w:footnote w:id="4">
    <w:p w14:paraId="512B5E3C" w14:textId="10CB6121" w:rsidR="00F1596F" w:rsidRDefault="00F1596F">
      <w:pPr>
        <w:pStyle w:val="a5"/>
        <w:rPr>
          <w:rFonts w:hint="cs"/>
        </w:rPr>
      </w:pPr>
      <w:r>
        <w:rPr>
          <w:rStyle w:val="ab"/>
        </w:rPr>
        <w:footnoteRef/>
      </w:r>
      <w:r>
        <w:rPr>
          <w:rtl/>
        </w:rPr>
        <w:t xml:space="preserve"> </w:t>
      </w:r>
      <w:r>
        <w:rPr>
          <w:rFonts w:hint="cs"/>
          <w:rtl/>
        </w:rPr>
        <w:t>פסחים מ.</w:t>
      </w:r>
    </w:p>
  </w:footnote>
  <w:footnote w:id="5">
    <w:p w14:paraId="2B5B73E4" w14:textId="5BC7F17B" w:rsidR="005E01EF" w:rsidRDefault="005E01EF">
      <w:pPr>
        <w:pStyle w:val="a5"/>
        <w:rPr>
          <w:rFonts w:hint="cs"/>
        </w:rPr>
      </w:pPr>
      <w:r>
        <w:rPr>
          <w:rStyle w:val="ab"/>
        </w:rPr>
        <w:footnoteRef/>
      </w:r>
      <w:r>
        <w:rPr>
          <w:rtl/>
        </w:rPr>
        <w:t xml:space="preserve"> </w:t>
      </w:r>
      <w:r>
        <w:rPr>
          <w:rFonts w:hint="cs"/>
          <w:rtl/>
        </w:rPr>
        <w:t>מצות אלו עלו להן כסף רב, יותר ממצות עבודת יד</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2AA7"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F8EE" w14:textId="611152CA"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F31113">
      <w:rPr>
        <w:rFonts w:ascii="Times New Roman" w:hAnsi="Times New Roman" w:cs="Times New Roman" w:hint="cs"/>
        <w:noProof/>
        <w:rtl/>
      </w:rPr>
      <w:t>‏</w:t>
    </w:r>
    <w:r w:rsidR="00F31113">
      <w:rPr>
        <w:rFonts w:hint="cs"/>
        <w:noProof/>
        <w:rtl/>
      </w:rPr>
      <w:t>כ</w:t>
    </w:r>
    <w:r w:rsidR="00F31113">
      <w:rPr>
        <w:noProof/>
        <w:rtl/>
      </w:rPr>
      <w:t>"</w:t>
    </w:r>
    <w:r w:rsidR="00F31113">
      <w:rPr>
        <w:rFonts w:hint="cs"/>
        <w:noProof/>
        <w:rtl/>
      </w:rPr>
      <w:t>ה</w:t>
    </w:r>
    <w:r w:rsidR="00F31113">
      <w:rPr>
        <w:noProof/>
        <w:rtl/>
      </w:rPr>
      <w:t xml:space="preserve"> </w:t>
    </w:r>
    <w:r w:rsidR="00F31113">
      <w:rPr>
        <w:rFonts w:hint="cs"/>
        <w:noProof/>
        <w:rtl/>
      </w:rPr>
      <w:t>אדר</w:t>
    </w:r>
    <w:r w:rsidR="00F31113">
      <w:rPr>
        <w:noProof/>
        <w:rtl/>
      </w:rPr>
      <w:t xml:space="preserve"> </w:t>
    </w:r>
    <w:r w:rsidR="00F31113">
      <w:rPr>
        <w:rFonts w:hint="cs"/>
        <w:noProof/>
        <w:rtl/>
      </w:rPr>
      <w:t>ב</w:t>
    </w:r>
    <w:r w:rsidR="00F31113">
      <w:rPr>
        <w:noProof/>
        <w:rtl/>
      </w:rPr>
      <w:t xml:space="preserve"> </w:t>
    </w:r>
    <w:r w:rsidR="00F31113">
      <w:rPr>
        <w:rFonts w:hint="cs"/>
        <w:noProof/>
        <w:rtl/>
      </w:rPr>
      <w:t>תשפ</w:t>
    </w:r>
    <w:r w:rsidR="00F31113">
      <w:rPr>
        <w:noProof/>
        <w:rtl/>
      </w:rPr>
      <w:t>"</w:t>
    </w:r>
    <w:r w:rsidR="00F31113">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258DA" w14:textId="77777777" w:rsidR="00CD34AC" w:rsidRDefault="00CD34A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1FD4"/>
    <w:multiLevelType w:val="hybridMultilevel"/>
    <w:tmpl w:val="37EA5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2A"/>
    <w:rsid w:val="000D679B"/>
    <w:rsid w:val="00147567"/>
    <w:rsid w:val="001F3942"/>
    <w:rsid w:val="00211BA9"/>
    <w:rsid w:val="00226240"/>
    <w:rsid w:val="00264875"/>
    <w:rsid w:val="00345EB8"/>
    <w:rsid w:val="003D0236"/>
    <w:rsid w:val="00446D94"/>
    <w:rsid w:val="004875C1"/>
    <w:rsid w:val="004A094B"/>
    <w:rsid w:val="004A42FB"/>
    <w:rsid w:val="005E01EF"/>
    <w:rsid w:val="006140F2"/>
    <w:rsid w:val="006856EA"/>
    <w:rsid w:val="00696165"/>
    <w:rsid w:val="006B3C2A"/>
    <w:rsid w:val="006F31E6"/>
    <w:rsid w:val="0072639B"/>
    <w:rsid w:val="00734E01"/>
    <w:rsid w:val="00777A83"/>
    <w:rsid w:val="008767CF"/>
    <w:rsid w:val="008C1EB2"/>
    <w:rsid w:val="00933C89"/>
    <w:rsid w:val="00971C95"/>
    <w:rsid w:val="009E3F02"/>
    <w:rsid w:val="00A71461"/>
    <w:rsid w:val="00B3202C"/>
    <w:rsid w:val="00BE6DF8"/>
    <w:rsid w:val="00BF108C"/>
    <w:rsid w:val="00C45E4B"/>
    <w:rsid w:val="00C461A6"/>
    <w:rsid w:val="00C7080E"/>
    <w:rsid w:val="00CD34AC"/>
    <w:rsid w:val="00DE251B"/>
    <w:rsid w:val="00F1596F"/>
    <w:rsid w:val="00F31113"/>
    <w:rsid w:val="00F910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276"/>
  <w15:chartTrackingRefBased/>
  <w15:docId w15:val="{80417ACA-B933-439F-8A2D-712CD8E0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226240"/>
    <w:pPr>
      <w:ind w:left="720"/>
      <w:contextualSpacing/>
    </w:pPr>
  </w:style>
  <w:style w:type="table" w:styleId="af5">
    <w:name w:val="Table Grid"/>
    <w:basedOn w:val="a1"/>
    <w:uiPriority w:val="39"/>
    <w:rsid w:val="005E01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249</Words>
  <Characters>1250</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6</cp:revision>
  <dcterms:created xsi:type="dcterms:W3CDTF">2022-03-28T08:24:00Z</dcterms:created>
  <dcterms:modified xsi:type="dcterms:W3CDTF">2022-03-28T09:48:00Z</dcterms:modified>
</cp:coreProperties>
</file>