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p w14:paraId="32257793" w14:textId="5FE4B8E0"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B63218F" w:rsidR="003F24B0" w:rsidRDefault="005774BE" w:rsidP="003F24B0">
      <w:pPr>
        <w:rPr>
          <w:rtl/>
        </w:rPr>
      </w:pPr>
      <w:r>
        <w:rPr>
          <w:rFonts w:hint="cs"/>
          <w:rtl/>
        </w:rPr>
        <w:t xml:space="preserve">צריך לשאול על זה </w:t>
      </w:r>
      <w:r w:rsidR="003F24B0">
        <w:rPr>
          <w:rFonts w:hint="cs"/>
          <w:rtl/>
        </w:rPr>
        <w:t>מספר שאלות:</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r w:rsidRPr="001F0F9D">
        <w:rPr>
          <w:rFonts w:hint="cs"/>
          <w:rtl/>
        </w:rPr>
        <w:t>"אין רוח חכמים נוחה הימנו"</w:t>
      </w:r>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r>
        <w:rPr>
          <w:rFonts w:hint="cs"/>
          <w:rtl/>
        </w:rPr>
        <w:t>כיצד לצאת ידי שמיים</w:t>
      </w:r>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5"/>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lastRenderedPageBreak/>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6"/>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285C94F0" w:rsidR="00BE3CE9" w:rsidRPr="00BE3CE9" w:rsidRDefault="00E36EA2" w:rsidP="00355BDC">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2" w:name="_Ref104927447"/>
      <w:r w:rsidR="00DC5F45">
        <w:rPr>
          <w:rStyle w:val="ab"/>
          <w:rtl/>
        </w:rPr>
        <w:footnoteReference w:id="9"/>
      </w:r>
      <w:bookmarkEnd w:id="2"/>
      <w:r w:rsidR="00DC5F45">
        <w:rPr>
          <w:rFonts w:hint="cs"/>
          <w:rtl/>
        </w:rPr>
        <w:t xml:space="preserve"> </w:t>
      </w:r>
      <w:r w:rsidR="00055F1A">
        <w:rPr>
          <w:rFonts w:hint="cs"/>
          <w:rtl/>
        </w:rPr>
        <w:t>וכך פוסקים גם הטור והשו</w:t>
      </w:r>
      <w:r w:rsidR="00355BDC">
        <w:rPr>
          <w:rFonts w:hint="cs"/>
          <w:rtl/>
        </w:rPr>
        <w:t>"ע</w:t>
      </w:r>
      <w:r w:rsidR="00355BDC">
        <w:rPr>
          <w:rStyle w:val="ab"/>
          <w:rtl/>
        </w:rPr>
        <w:footnoteReference w:id="10"/>
      </w:r>
      <w:r w:rsidR="00055F1A">
        <w:rPr>
          <w:rFonts w:hint="cs"/>
          <w:rtl/>
        </w:rPr>
        <w:t>.</w:t>
      </w:r>
    </w:p>
    <w:p w14:paraId="1427CC30" w14:textId="4829053A" w:rsidR="00DA5081" w:rsidRPr="008232F4" w:rsidRDefault="00444EFB" w:rsidP="00444EFB">
      <w:pPr>
        <w:pStyle w:val="1"/>
        <w:rPr>
          <w:b/>
          <w:bCs/>
          <w:rtl/>
        </w:rPr>
      </w:pPr>
      <w:r>
        <w:rPr>
          <w:rFonts w:hint="cs"/>
          <w:rtl/>
        </w:rPr>
        <w:t>ההגבלות לתקנה</w:t>
      </w:r>
    </w:p>
    <w:p w14:paraId="00B3EE5F" w14:textId="79AC5F2D"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1"/>
      </w:r>
      <w:r w:rsidR="000205AF">
        <w:rPr>
          <w:rFonts w:hint="cs"/>
          <w:rtl/>
        </w:rPr>
        <w:t>. אם הגזילה קיימת הגזלן חייב להחזיר את הגזילה, והנגזל יכול לקבל אותה</w:t>
      </w:r>
      <w:r w:rsidR="004D162D">
        <w:rPr>
          <w:rStyle w:val="ab"/>
          <w:rtl/>
        </w:rPr>
        <w:footnoteReference w:id="12"/>
      </w:r>
      <w:r w:rsidR="000205AF">
        <w:rPr>
          <w:rFonts w:hint="cs"/>
          <w:rtl/>
        </w:rPr>
        <w:t>.</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6A6E3EA5"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45795C0D" w14:textId="55E2D902" w:rsidR="00594A39" w:rsidRDefault="00594A39" w:rsidP="008F604F">
      <w:pPr>
        <w:tabs>
          <w:tab w:val="left" w:pos="6503"/>
        </w:tabs>
        <w:rPr>
          <w:rtl/>
        </w:rPr>
      </w:pPr>
      <w:r>
        <w:rPr>
          <w:rFonts w:hint="cs"/>
          <w:rtl/>
        </w:rPr>
        <w:t>כמו כן, ר"ת סובר</w:t>
      </w:r>
      <w:r>
        <w:rPr>
          <w:rStyle w:val="ab"/>
          <w:rtl/>
        </w:rPr>
        <w:footnoteReference w:id="13"/>
      </w:r>
      <w:r>
        <w:rPr>
          <w:rFonts w:hint="cs"/>
          <w:rtl/>
        </w:rPr>
        <w:t xml:space="preserve"> שבזמן תקנה זו, בית דין אינו נזקק לתביעת גזל כלל (כמו המשך דברי התוס', שלא מדובר רק באדם שעשה תשובה).</w:t>
      </w:r>
    </w:p>
    <w:p w14:paraId="2C040D91" w14:textId="430A6669" w:rsidR="007471E6" w:rsidRDefault="00382412" w:rsidP="008F604F">
      <w:pPr>
        <w:tabs>
          <w:tab w:val="left" w:pos="6503"/>
        </w:tabs>
        <w:rPr>
          <w:rtl/>
        </w:rPr>
      </w:pPr>
      <w:r>
        <w:rPr>
          <w:rFonts w:hint="cs"/>
          <w:rtl/>
        </w:rPr>
        <w:lastRenderedPageBreak/>
        <w:t>הרשב"א</w:t>
      </w:r>
      <w:r w:rsidR="00751CED">
        <w:rPr>
          <w:rStyle w:val="ab"/>
          <w:rtl/>
        </w:rPr>
        <w:footnoteReference w:id="14"/>
      </w:r>
      <w:r>
        <w:rPr>
          <w:rFonts w:hint="cs"/>
          <w:rtl/>
        </w:rPr>
        <w:t xml:space="preserve"> מקשה על ר"</w:t>
      </w:r>
      <w:r w:rsidR="00A7226E">
        <w:rPr>
          <w:rFonts w:hint="cs"/>
          <w:rtl/>
        </w:rPr>
        <w:t>י, שבהמשך הגמרא רב נחמן קונס אדם בגלל שהיה גזלן ותיק</w:t>
      </w:r>
      <w:r w:rsidR="007471E6">
        <w:rPr>
          <w:rFonts w:hint="cs"/>
          <w:rtl/>
        </w:rPr>
        <w:t>:</w:t>
      </w:r>
    </w:p>
    <w:p w14:paraId="35808536" w14:textId="1E8342FC" w:rsidR="007471E6" w:rsidRDefault="007471E6" w:rsidP="007471E6">
      <w:pPr>
        <w:tabs>
          <w:tab w:val="left" w:pos="6503"/>
        </w:tabs>
        <w:ind w:left="720"/>
        <w:rPr>
          <w:rtl/>
        </w:rPr>
      </w:pPr>
      <w:r>
        <w:rPr>
          <w:rtl/>
        </w:rPr>
        <w:t xml:space="preserve">ובתוס' פרשו דמה שאמרו הגזלנין ומלוי ברבית אין מקבלין מהן אפילו אם תמצא לומר דלדרי עלמא תקון לא קשיא, דלא אמרו אלא במי שנתעסק הרבה בדבר זה </w:t>
      </w:r>
      <w:r w:rsidRPr="006C7830">
        <w:rPr>
          <w:u w:val="single"/>
          <w:rtl/>
        </w:rPr>
        <w:t>דכיון שנתיישן בעבירה זו אתה מחייבו למכור כל אשר לו ולשלם ומתוך כך ימנע ולא יעשה תשובה</w:t>
      </w:r>
      <w:r>
        <w:rPr>
          <w:rtl/>
        </w:rPr>
        <w:t xml:space="preserve"> וכמעשה דאותו שבקש לעשות תשובה ואמרה לו אשתו אפילו אבנט אינו שלך, אבל בגזל פעם או שתים או במי שהלוה ברבית לעתים מחייבים אותן לשלם שאין תשובתן של אלו קשה, וזהו ששנינו הגזלנין ומלוי ברבית דמשמע שאומנותן בכך ולא אמרו מי שגזל או שהלוה בריבית, ואינו מחוור בעיני </w:t>
      </w:r>
      <w:r w:rsidRPr="00A7226E">
        <w:rPr>
          <w:u w:val="single"/>
          <w:rtl/>
        </w:rPr>
        <w:t>דאדרבה גזלן עתיקא בעי למקנסי'</w:t>
      </w:r>
      <w:r>
        <w:rPr>
          <w:rtl/>
        </w:rPr>
        <w:t xml:space="preserve"> כדאמר ליה רב נחמן לקמן</w:t>
      </w:r>
      <w:r>
        <w:rPr>
          <w:rStyle w:val="ab"/>
          <w:rtl/>
        </w:rPr>
        <w:footnoteReference w:id="15"/>
      </w:r>
      <w:r>
        <w:rPr>
          <w:rtl/>
        </w:rPr>
        <w:t xml:space="preserve"> בההוא דגזל פדנא דתורי מחברי' האי גזלן עתיקא הוא ובעינא למקנסיה</w:t>
      </w:r>
    </w:p>
    <w:p w14:paraId="41200BB9" w14:textId="67BC0079" w:rsidR="00A2197D" w:rsidRDefault="002640EF" w:rsidP="00A056F3">
      <w:pPr>
        <w:tabs>
          <w:tab w:val="left" w:pos="6503"/>
        </w:tabs>
        <w:rPr>
          <w:rtl/>
        </w:rPr>
      </w:pPr>
      <w:r>
        <w:rPr>
          <w:rFonts w:hint="cs"/>
          <w:rtl/>
        </w:rPr>
        <w:t>ב</w:t>
      </w:r>
      <w:r w:rsidR="00A2197D">
        <w:rPr>
          <w:rFonts w:hint="cs"/>
          <w:rtl/>
        </w:rPr>
        <w:t>תוספתא</w:t>
      </w:r>
      <w:r w:rsidR="007F64BD">
        <w:rPr>
          <w:rFonts w:hint="cs"/>
          <w:rtl/>
        </w:rPr>
        <w:t xml:space="preserve"> במסכת שביעית</w:t>
      </w:r>
      <w:r w:rsidR="00A2197D">
        <w:rPr>
          <w:rStyle w:val="ab"/>
          <w:rtl/>
        </w:rPr>
        <w:footnoteReference w:id="16"/>
      </w:r>
      <w:r>
        <w:rPr>
          <w:rFonts w:hint="cs"/>
          <w:rtl/>
        </w:rPr>
        <w:t xml:space="preserve"> כתוב כך</w:t>
      </w:r>
      <w:r w:rsidR="007666EC">
        <w:rPr>
          <w:rFonts w:hint="cs"/>
          <w:rtl/>
        </w:rPr>
        <w:t>, בניגוד לדברי תוספות</w:t>
      </w:r>
      <w:r>
        <w:rPr>
          <w:rFonts w:hint="cs"/>
          <w:rtl/>
        </w:rPr>
        <w:t>:</w:t>
      </w:r>
    </w:p>
    <w:p w14:paraId="1B98E8F0" w14:textId="0177C757" w:rsidR="007666EC" w:rsidRDefault="002640EF" w:rsidP="007666EC">
      <w:pPr>
        <w:ind w:left="720"/>
        <w:rPr>
          <w:rtl/>
        </w:rPr>
      </w:pPr>
      <w:bookmarkStart w:id="3" w:name="_Hlk104911835"/>
      <w:r w:rsidRPr="00D145CF">
        <w:rPr>
          <w:rtl/>
        </w:rPr>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bookmarkEnd w:id="3"/>
    </w:p>
    <w:p w14:paraId="5310AD9C" w14:textId="6170BC60" w:rsidR="00A056F3" w:rsidRDefault="00A056F3" w:rsidP="00A056F3">
      <w:pPr>
        <w:tabs>
          <w:tab w:val="left" w:pos="6503"/>
        </w:tabs>
      </w:pPr>
      <w:r>
        <w:rPr>
          <w:rFonts w:hint="cs"/>
          <w:rtl/>
        </w:rPr>
        <w:t xml:space="preserve">הרמ"ה ורבינו יהונתן מלוניל </w:t>
      </w:r>
      <w:r w:rsidR="007666EC">
        <w:rPr>
          <w:rFonts w:hint="cs"/>
          <w:rtl/>
        </w:rPr>
        <w:t xml:space="preserve">גם כותבים </w:t>
      </w:r>
      <w:r w:rsidR="008776B7">
        <w:rPr>
          <w:rFonts w:hint="cs"/>
          <w:rtl/>
        </w:rPr>
        <w:t>כך</w:t>
      </w:r>
      <w:r w:rsidR="000E258C">
        <w:rPr>
          <w:rStyle w:val="ab"/>
          <w:rtl/>
        </w:rPr>
        <w:footnoteReference w:id="17"/>
      </w:r>
      <w:r w:rsidR="007666EC">
        <w:rPr>
          <w:rFonts w:hint="cs"/>
          <w:rtl/>
        </w:rPr>
        <w:t>, שהתקנה עוסקת רק במי שעשה תשובה</w:t>
      </w:r>
      <w:r w:rsidR="003E2050">
        <w:rPr>
          <w:rFonts w:hint="cs"/>
          <w:rtl/>
        </w:rPr>
        <w:t xml:space="preserve"> והחזיר מעצמו</w:t>
      </w:r>
      <w:r>
        <w:rPr>
          <w:rFonts w:hint="cs"/>
          <w:rtl/>
        </w:rPr>
        <w:t>, כי הרי יש מקרים רבים שבהם בית דין מוציאים את דמי הגזילה מהגזלן.</w:t>
      </w:r>
    </w:p>
    <w:p w14:paraId="239D66B7" w14:textId="69842F9C" w:rsidR="00D01750" w:rsidRDefault="00D01750" w:rsidP="00355BDC">
      <w:pPr>
        <w:tabs>
          <w:tab w:val="left" w:pos="6503"/>
        </w:tabs>
        <w:rPr>
          <w:rtl/>
        </w:rPr>
      </w:pPr>
      <w:r>
        <w:rPr>
          <w:rFonts w:hint="cs"/>
          <w:sz w:val="24"/>
          <w:rtl/>
        </w:rPr>
        <w:t>הרא"ש</w:t>
      </w:r>
      <w:r>
        <w:rPr>
          <w:rStyle w:val="ab"/>
          <w:sz w:val="24"/>
          <w:rtl/>
        </w:rPr>
        <w:footnoteReference w:id="18"/>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9"/>
      </w:r>
      <w:r w:rsidRPr="00CB2CB9">
        <w:rPr>
          <w:rFonts w:hint="cs"/>
          <w:sz w:val="24"/>
          <w:rtl/>
        </w:rPr>
        <w:t xml:space="preserve">. </w:t>
      </w:r>
      <w:r w:rsidRPr="00CB2CB9">
        <w:rPr>
          <w:sz w:val="24"/>
          <w:rtl/>
        </w:rPr>
        <w:t>וכדעה זו פסק השולחן ערוך</w:t>
      </w:r>
      <w:r w:rsidR="0044601A">
        <w:rPr>
          <w:sz w:val="24"/>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Ref104928954 \f \h</w:instrText>
      </w:r>
      <w:r w:rsidR="0044601A">
        <w:rPr>
          <w:rtl/>
        </w:rPr>
        <w:instrText xml:space="preserve"> </w:instrText>
      </w:r>
      <w:r w:rsidR="0044601A">
        <w:rPr>
          <w:sz w:val="24"/>
        </w:rPr>
      </w:r>
      <w:r w:rsidR="0044601A">
        <w:rPr>
          <w:sz w:val="24"/>
        </w:rPr>
        <w:fldChar w:fldCharType="separate"/>
      </w:r>
      <w:r w:rsidR="00355BDC" w:rsidRPr="00355BDC">
        <w:rPr>
          <w:rStyle w:val="ab"/>
          <w:rtl/>
        </w:rPr>
        <w:t>10</w:t>
      </w:r>
      <w:r w:rsidR="0044601A">
        <w:rPr>
          <w:sz w:val="24"/>
        </w:rPr>
        <w:fldChar w:fldCharType="end"/>
      </w:r>
      <w:r w:rsidR="00661C3C">
        <w:rPr>
          <w:rFonts w:hint="cs"/>
          <w:rtl/>
        </w:rPr>
        <w:t>.</w:t>
      </w:r>
    </w:p>
    <w:p w14:paraId="5570E234" w14:textId="53D58E22"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המשך התוספות, וסבר שהתקנה עוסקת רק במי שעשה תשובה. </w:t>
      </w:r>
      <w:r w:rsidR="00247E4B">
        <w:rPr>
          <w:rFonts w:hint="cs"/>
          <w:rtl/>
        </w:rPr>
        <w:t>לכן רב נחמן קנס את הגזלן המקצועי לקמן</w:t>
      </w:r>
      <w:r>
        <w:rPr>
          <w:rFonts w:hint="cs"/>
          <w:rtl/>
        </w:rPr>
        <w:t>,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20"/>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1A1CB795" w14:textId="4742E223" w:rsidR="001657DE" w:rsidRPr="009C02F2" w:rsidRDefault="0027615D" w:rsidP="009C02F2">
      <w:pPr>
        <w:rPr>
          <w:sz w:val="24"/>
          <w:rtl/>
        </w:rPr>
      </w:pPr>
      <w:r w:rsidRPr="00CB2CB9">
        <w:rPr>
          <w:rFonts w:hint="cs"/>
          <w:sz w:val="24"/>
          <w:rtl/>
        </w:rPr>
        <w:t>המהרש"ל</w:t>
      </w:r>
      <w:r>
        <w:rPr>
          <w:rStyle w:val="ab"/>
          <w:sz w:val="24"/>
          <w:rtl/>
        </w:rPr>
        <w:footnoteReference w:id="21"/>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6E8B0C50" w14:textId="6B5D8EA5" w:rsidR="001657DE" w:rsidRDefault="001657DE" w:rsidP="001657DE">
      <w:pPr>
        <w:tabs>
          <w:tab w:val="left" w:pos="6503"/>
        </w:tabs>
        <w:rPr>
          <w:rtl/>
        </w:rPr>
      </w:pPr>
      <w:r>
        <w:rPr>
          <w:rFonts w:hint="cs"/>
          <w:rtl/>
        </w:rPr>
        <w:t xml:space="preserve">נראה שרבינו תם לא סבר אף אחת מההגבלות האחרות, ולכן הגביל אותה מבחינת הזמן, ושלל כל משמעות מעשית לתקנה בימינו. כך </w:t>
      </w:r>
      <w:r w:rsidR="00AE01CE">
        <w:rPr>
          <w:rFonts w:hint="cs"/>
          <w:rtl/>
        </w:rPr>
        <w:t>כותב</w:t>
      </w:r>
      <w:r>
        <w:rPr>
          <w:rFonts w:hint="cs"/>
          <w:rtl/>
        </w:rPr>
        <w:t xml:space="preserve"> השו"ת 'זית רענן'</w:t>
      </w:r>
      <w:r>
        <w:rPr>
          <w:rStyle w:val="ab"/>
          <w:rtl/>
        </w:rPr>
        <w:footnoteReference w:id="22"/>
      </w:r>
      <w:r>
        <w:rPr>
          <w:rFonts w:hint="cs"/>
          <w:rtl/>
        </w:rPr>
        <w:t>:</w:t>
      </w:r>
    </w:p>
    <w:p w14:paraId="17D55783" w14:textId="6BEA2716" w:rsidR="001657DE" w:rsidRDefault="001657DE" w:rsidP="009C02F2">
      <w:pPr>
        <w:tabs>
          <w:tab w:val="left" w:pos="6503"/>
        </w:tabs>
        <w:ind w:left="720"/>
        <w:rPr>
          <w:rtl/>
        </w:rPr>
      </w:pPr>
      <w:r w:rsidRPr="00E03704">
        <w:rPr>
          <w:sz w:val="24"/>
          <w:rtl/>
        </w:rPr>
        <w:t>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3"/>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lastRenderedPageBreak/>
        <w:t>צריך לשאול, האם הרמב"ם סובר שתקנת חכמים מונעת מהגזלן לחזור בתשובה? הרי כל מהות התקנה היא בשביל לעזור להם לשוב בתשובה.</w:t>
      </w:r>
    </w:p>
    <w:p w14:paraId="2F1C85C4" w14:textId="77777777" w:rsidR="00F134B8" w:rsidRDefault="00205E2A" w:rsidP="00355BDC">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355BDC" w:rsidRPr="00355BDC">
        <w:rPr>
          <w:rStyle w:val="ab"/>
          <w:rtl/>
        </w:rPr>
        <w:t>9</w:t>
      </w:r>
      <w:r w:rsidR="0044601A">
        <w:rPr>
          <w:rtl/>
        </w:rPr>
        <w:fldChar w:fldCharType="end"/>
      </w:r>
      <w:r>
        <w:rPr>
          <w:rFonts w:hint="cs"/>
          <w:rtl/>
        </w:rPr>
        <w:t xml:space="preserve"> גם נשאל שאלה זו</w:t>
      </w:r>
      <w:r w:rsidR="00F134B8">
        <w:rPr>
          <w:rFonts w:hint="cs"/>
          <w:rtl/>
        </w:rPr>
        <w:t>:</w:t>
      </w:r>
    </w:p>
    <w:p w14:paraId="092E2DA7" w14:textId="77777777" w:rsidR="00F134B8" w:rsidRDefault="00F134B8" w:rsidP="00F134B8">
      <w:pPr>
        <w:ind w:left="720"/>
        <w:rPr>
          <w:rtl/>
        </w:rPr>
      </w:pPr>
      <w:r>
        <w:rPr>
          <w:rtl/>
        </w:rPr>
        <w:t>השאלה השניה למה מנעו רז"ל דרך התשובה באמרם הגזלנים ומלוה רביות אם החזירו אין מקבלים מהם.</w:t>
      </w:r>
      <w:r>
        <w:rPr>
          <w:rFonts w:ascii="Cambria" w:hAnsi="Cambria" w:cs="Cambria" w:hint="cs"/>
          <w:rtl/>
        </w:rPr>
        <w:t> </w:t>
      </w:r>
    </w:p>
    <w:p w14:paraId="69D25862" w14:textId="2D294502" w:rsidR="008D6562" w:rsidRDefault="00F134B8" w:rsidP="006861A4">
      <w:pPr>
        <w:ind w:left="720"/>
        <w:rPr>
          <w:rtl/>
        </w:rPr>
      </w:pPr>
      <w:r>
        <w:rPr>
          <w:rFonts w:hint="cs"/>
          <w:rtl/>
        </w:rPr>
        <w:t>תשובתך</w:t>
      </w:r>
      <w:r>
        <w:rPr>
          <w:rtl/>
        </w:rPr>
        <w:t xml:space="preserve"> </w:t>
      </w:r>
      <w:r>
        <w:rPr>
          <w:rFonts w:hint="cs"/>
          <w:rtl/>
        </w:rPr>
        <w:t>חלילה</w:t>
      </w:r>
      <w:r>
        <w:rPr>
          <w:rtl/>
        </w:rPr>
        <w:t xml:space="preserve"> </w:t>
      </w:r>
      <w:r>
        <w:rPr>
          <w:rFonts w:hint="cs"/>
          <w:rtl/>
        </w:rPr>
        <w:t>אבל</w:t>
      </w:r>
      <w:r>
        <w:rPr>
          <w:rtl/>
        </w:rPr>
        <w:t xml:space="preserve"> </w:t>
      </w:r>
      <w:r>
        <w:rPr>
          <w:rFonts w:hint="cs"/>
          <w:rtl/>
        </w:rPr>
        <w:t>אמרו</w:t>
      </w:r>
      <w:r>
        <w:rPr>
          <w:rtl/>
        </w:rPr>
        <w:t xml:space="preserve"> </w:t>
      </w:r>
      <w:r>
        <w:rPr>
          <w:rFonts w:hint="cs"/>
          <w:rtl/>
        </w:rPr>
        <w:t>כן</w:t>
      </w:r>
      <w:r>
        <w:rPr>
          <w:rtl/>
        </w:rPr>
        <w:t xml:space="preserve"> </w:t>
      </w:r>
      <w:r>
        <w:rPr>
          <w:rFonts w:hint="cs"/>
          <w:rtl/>
        </w:rPr>
        <w:t>כדי</w:t>
      </w:r>
      <w:r>
        <w:rPr>
          <w:rtl/>
        </w:rPr>
        <w:t xml:space="preserve"> </w:t>
      </w:r>
      <w:r>
        <w:rPr>
          <w:rFonts w:hint="cs"/>
          <w:rtl/>
        </w:rPr>
        <w:t>שלא</w:t>
      </w:r>
      <w:r>
        <w:rPr>
          <w:rtl/>
        </w:rPr>
        <w:t xml:space="preserve"> </w:t>
      </w:r>
      <w:r>
        <w:rPr>
          <w:rFonts w:hint="cs"/>
          <w:rtl/>
        </w:rPr>
        <w:t>ימנע</w:t>
      </w:r>
      <w:r>
        <w:rPr>
          <w:rtl/>
        </w:rPr>
        <w:t xml:space="preserve"> </w:t>
      </w:r>
      <w:r>
        <w:rPr>
          <w:rFonts w:hint="cs"/>
          <w:rtl/>
        </w:rPr>
        <w:t>אדם</w:t>
      </w:r>
      <w:r>
        <w:rPr>
          <w:rtl/>
        </w:rPr>
        <w:t xml:space="preserve"> </w:t>
      </w:r>
      <w:r>
        <w:rPr>
          <w:rFonts w:hint="cs"/>
          <w:rtl/>
        </w:rPr>
        <w:t>מן</w:t>
      </w:r>
      <w:r>
        <w:rPr>
          <w:rtl/>
        </w:rPr>
        <w:t xml:space="preserve"> </w:t>
      </w:r>
      <w:r>
        <w:rPr>
          <w:rFonts w:hint="cs"/>
          <w:rtl/>
        </w:rPr>
        <w:t>התשובה...</w:t>
      </w:r>
      <w:r>
        <w:rPr>
          <w:rtl/>
        </w:rPr>
        <w:t xml:space="preserve"> ומפורש שם בסוגיא שאם מה שגזלו הוא בעין עדין שאז מקבלים מהם אבל אם הגזלה אינה קיימת אז אין מקבלין מהם. ומ"מ אע"פ שאין מקבלין מהן </w:t>
      </w:r>
      <w:r w:rsidRPr="001F3DEA">
        <w:rPr>
          <w:u w:val="single"/>
          <w:rtl/>
        </w:rPr>
        <w:t>הם חייבים להחזיר כדי לצאת ידי שמים</w:t>
      </w:r>
      <w:r>
        <w:rPr>
          <w:rtl/>
        </w:rPr>
        <w:t xml:space="preserve">, אלא שמדת חסידות שלא לקבל מהן כדי שלא ימנע מהן התשובה. וזה לא נאמר </w:t>
      </w:r>
      <w:r w:rsidRPr="001F3DEA">
        <w:rPr>
          <w:u w:val="single"/>
          <w:rtl/>
        </w:rPr>
        <w:t>אלא כשהם מתעוררים לעשות תשובה</w:t>
      </w:r>
      <w:r>
        <w:rPr>
          <w:rtl/>
        </w:rPr>
        <w:t xml:space="preserve"> ולהשיב גזלתם אבל אם הם מחזיקים ברשעתם ואינם שבים בתשובה אז כופין להחזיר בב"ד ומקבלין מהן. וכ"כ קצת מפרשים ז"ל. ובתוספות כתבו שלא נאמר זה אלא בגזלנין ומלוה רביות </w:t>
      </w:r>
      <w:r w:rsidRPr="001F3DEA">
        <w:rPr>
          <w:u w:val="single"/>
          <w:rtl/>
        </w:rPr>
        <w:t>שנתעסקו הרבה בדבר זה</w:t>
      </w:r>
      <w:r>
        <w:rPr>
          <w:rtl/>
        </w:rPr>
        <w:t xml:space="preserve"> דכיון שנתישן בעברה זו אם אתה מחייבו למכור כל אשר לו ולשלם ימנע ולא יעשה תשובה, וכאותו מעשה שהביאו בגמרא שאמרה לו אשתו אפי' אבנטך אינו שלך. אבל בגוזל פעם ושתים או במי שהלוה ברבית לעתים מחייבין אותם לשלם, שאין תשובתן של אלו קשה, ולזה אמרו הגזלנין ומלוה רביות ולא אמרו מי שגזל או הלוה ברבית. ור"ת ז"ל אמר עוד דרבי כשתקן תקנה זו </w:t>
      </w:r>
      <w:r w:rsidRPr="001F3DEA">
        <w:rPr>
          <w:u w:val="single"/>
          <w:rtl/>
        </w:rPr>
        <w:t>לדריה תיקן ולא לדורות הבאים</w:t>
      </w:r>
      <w:r>
        <w:rPr>
          <w:rtl/>
        </w:rPr>
        <w:t>, דבכל מקום ששנו כלשון הזה בימי רבי פלוני נשנית משנה זו ר"ל לדריה בלחוד.</w:t>
      </w:r>
    </w:p>
    <w:p w14:paraId="1D3B7B68" w14:textId="4D08E8A8" w:rsidR="00F134B8" w:rsidRDefault="00F134B8" w:rsidP="00F134B8">
      <w:pPr>
        <w:rPr>
          <w:rtl/>
        </w:rPr>
      </w:pPr>
      <w:r>
        <w:rPr>
          <w:rFonts w:hint="cs"/>
          <w:rtl/>
        </w:rPr>
        <w:t>הוא עונה על השאלה בכך שהם כן חייבים ממש להחזיר על מנת לצאת ידי שמיים, ומביא את כל ההגבלות שכתבנו לעיל.</w:t>
      </w:r>
    </w:p>
    <w:p w14:paraId="7678788C" w14:textId="599B3A90" w:rsidR="006C7830" w:rsidRDefault="006C7830" w:rsidP="00F134B8">
      <w:pPr>
        <w:rPr>
          <w:rtl/>
        </w:rPr>
      </w:pPr>
      <w:r>
        <w:rPr>
          <w:rFonts w:hint="cs"/>
          <w:rtl/>
        </w:rPr>
        <w:t>אך כפי שכתבנו לעיל, הרמב"ם סובר כהבנה הראשונה של התקנה, שבשביל לצאת ידי שמיים צריך רק להביע רצון להחזיר ולא להחזיר ממש, ושהנגזל לא מורשה לקבל את הכסף. לכן עדיין נשארנו עם השאלה</w:t>
      </w:r>
      <w:r w:rsidR="001F3DEA">
        <w:rPr>
          <w:rFonts w:hint="cs"/>
          <w:rtl/>
        </w:rPr>
        <w:t xml:space="preserve"> על דברי הרמב"ם.</w:t>
      </w:r>
    </w:p>
    <w:p w14:paraId="2F42941E" w14:textId="49B76E90" w:rsidR="002440AA" w:rsidRDefault="002440AA" w:rsidP="002440AA">
      <w:pPr>
        <w:rPr>
          <w:rtl/>
        </w:rPr>
      </w:pPr>
      <w:r>
        <w:rPr>
          <w:rFonts w:hint="cs"/>
          <w:rtl/>
        </w:rPr>
        <w:t>הרב סבתו</w:t>
      </w:r>
      <w:r>
        <w:rPr>
          <w:rStyle w:val="ab"/>
          <w:rtl/>
        </w:rPr>
        <w:footnoteReference w:id="24"/>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5"/>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6"/>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lastRenderedPageBreak/>
        <w:t>ברייתא היא במסכת סנהדרין</w:t>
      </w:r>
      <w:r>
        <w:rPr>
          <w:rStyle w:val="ab"/>
          <w:rtl/>
        </w:rPr>
        <w:footnoteReference w:id="27"/>
      </w:r>
      <w:r>
        <w:rPr>
          <w:rFonts w:hint="cs"/>
          <w:rtl/>
        </w:rPr>
        <w:t xml:space="preserve"> וכן הובאה להלכה ברמב"ם</w:t>
      </w:r>
      <w:r>
        <w:rPr>
          <w:rStyle w:val="ab"/>
          <w:rtl/>
        </w:rPr>
        <w:footnoteReference w:id="28"/>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t>נראה שהגרי"ד סובר כתוספות במסכת בבא בתרא</w:t>
      </w:r>
      <w:r>
        <w:rPr>
          <w:rStyle w:val="ab"/>
          <w:rtl/>
        </w:rPr>
        <w:footnoteReference w:id="29"/>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30"/>
      </w:r>
      <w:r>
        <w:rPr>
          <w:rFonts w:hint="cs"/>
          <w:rtl/>
        </w:rPr>
        <w:t>, משמע שפסול לעדות.</w:t>
      </w:r>
    </w:p>
    <w:p w14:paraId="521B006F" w14:textId="20F4F5CA" w:rsidR="00B76F21" w:rsidRDefault="006A6E4E" w:rsidP="006A6E4E">
      <w:pPr>
        <w:tabs>
          <w:tab w:val="left" w:pos="6503"/>
        </w:tabs>
        <w:rPr>
          <w:rtl/>
        </w:rPr>
      </w:pPr>
      <w:r>
        <w:rPr>
          <w:rFonts w:hint="cs"/>
          <w:rtl/>
        </w:rPr>
        <w:t>מנגד, הקובץ שיעורים</w:t>
      </w:r>
      <w:r>
        <w:rPr>
          <w:rStyle w:val="ab"/>
          <w:rtl/>
        </w:rPr>
        <w:footnoteReference w:id="31"/>
      </w:r>
      <w:r w:rsidR="00B76F21">
        <w:rPr>
          <w:rFonts w:hint="cs"/>
          <w:rtl/>
        </w:rPr>
        <w:t xml:space="preserve"> לכאורה מחבר את הסוגים א' וג':</w:t>
      </w:r>
    </w:p>
    <w:p w14:paraId="11B16452" w14:textId="708619A0" w:rsidR="00B76F21" w:rsidRDefault="00B76F21" w:rsidP="00B76F21">
      <w:pPr>
        <w:tabs>
          <w:tab w:val="left" w:pos="6503"/>
        </w:tabs>
        <w:ind w:left="720"/>
        <w:rPr>
          <w:rtl/>
        </w:rPr>
      </w:pPr>
      <w:r>
        <w:rPr>
          <w:rtl/>
        </w:rPr>
        <w:t xml:space="preserve">והכא לא אפשר בתשובה, שאינו יודע למי יחזירו ונראה דאע"ג דלא מהני תשובה, כל שאינו מחזיר, אף אם הוא אנוס בזה, היינו שאין העבירה נעקרת למפרע, </w:t>
      </w:r>
      <w:r w:rsidRPr="00B76F21">
        <w:rPr>
          <w:u w:val="single"/>
          <w:rtl/>
        </w:rPr>
        <w:t>אבל מכאן ולהבא מיהת כשר לעדות, דעכשיו אינו רשע</w:t>
      </w:r>
      <w:r>
        <w:rPr>
          <w:rtl/>
        </w:rPr>
        <w:t>, כמ"ש יבמות כ"ב לענין הוליד ממזר ועשה תשובה, השתא מיהא עושה מעשה עמך הוא, וחייב הבן בכבודו, ולפי"ז צ"ע דברי רבינו חיים בתוס' כאן איזו חילוק יש, דלענין למפרע לא מהניא תשובה גם בהוליד ממזר, ולענין מכאן ולהבא מהניא גם הכא כיון שהוא אנוס.</w:t>
      </w:r>
    </w:p>
    <w:p w14:paraId="639207C2" w14:textId="456F62F6" w:rsidR="00B76F21" w:rsidRDefault="00B76F21" w:rsidP="00B76F21">
      <w:pPr>
        <w:tabs>
          <w:tab w:val="left" w:pos="6503"/>
        </w:tabs>
        <w:rPr>
          <w:rtl/>
        </w:rPr>
      </w:pPr>
      <w:r>
        <w:rPr>
          <w:rFonts w:hint="cs"/>
          <w:rtl/>
        </w:rPr>
        <w:t xml:space="preserve">אדם צריך להחליט שהוא מפסיק לגזול, </w:t>
      </w:r>
      <w:r w:rsidR="00DC3A1D">
        <w:rPr>
          <w:rFonts w:hint="cs"/>
          <w:rtl/>
        </w:rPr>
        <w:t xml:space="preserve">וכך </w:t>
      </w:r>
      <w:r>
        <w:rPr>
          <w:rFonts w:hint="cs"/>
          <w:rtl/>
        </w:rPr>
        <w:t>יוסר מעליו שם רשע ויהיה כשר לעדות</w:t>
      </w:r>
      <w:r w:rsidR="00FE01A8">
        <w:rPr>
          <w:rFonts w:hint="cs"/>
          <w:rtl/>
        </w:rPr>
        <w:t>, למרות שלא כיפר על חטא</w:t>
      </w:r>
      <w:r w:rsidR="00F134B8">
        <w:rPr>
          <w:rFonts w:hint="cs"/>
          <w:rtl/>
        </w:rPr>
        <w:t>י</w:t>
      </w:r>
      <w:r w:rsidR="00FE01A8">
        <w:rPr>
          <w:rFonts w:hint="cs"/>
          <w:rtl/>
        </w:rPr>
        <w:t>ו</w:t>
      </w:r>
      <w:r>
        <w:rPr>
          <w:rFonts w:hint="cs"/>
          <w:rtl/>
        </w:rPr>
        <w:t>.</w:t>
      </w:r>
    </w:p>
    <w:p w14:paraId="0FA8EFCA" w14:textId="0D8F57CD" w:rsidR="00924900" w:rsidRDefault="00A848A8" w:rsidP="00A848A8">
      <w:pPr>
        <w:pStyle w:val="1"/>
        <w:rPr>
          <w:rtl/>
        </w:rPr>
      </w:pPr>
      <w:r>
        <w:rPr>
          <w:rFonts w:hint="cs"/>
          <w:rtl/>
        </w:rPr>
        <w:t>שיטת הרמב"ם</w:t>
      </w:r>
    </w:p>
    <w:p w14:paraId="2B5C0B7D" w14:textId="58451070" w:rsidR="00A848A8" w:rsidRDefault="00EA397A" w:rsidP="00355BDC">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355BDC" w:rsidRPr="00355BDC">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9402E4">
        <w:rPr>
          <w:sz w:val="24"/>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03CB348C" w14:textId="30418230" w:rsidR="009402E4" w:rsidRDefault="009402E4" w:rsidP="00752686">
      <w:pPr>
        <w:rPr>
          <w:rtl/>
        </w:rPr>
      </w:pPr>
      <w:r>
        <w:rPr>
          <w:rFonts w:hint="cs"/>
          <w:rtl/>
        </w:rPr>
        <w:t>ננסה לבחון איזה מההגבלות סבר הרמב"ם:</w:t>
      </w:r>
    </w:p>
    <w:p w14:paraId="35F45274" w14:textId="6568D765" w:rsidR="009402E4" w:rsidRDefault="009402E4" w:rsidP="009402E4">
      <w:pPr>
        <w:pStyle w:val="af4"/>
        <w:numPr>
          <w:ilvl w:val="0"/>
          <w:numId w:val="10"/>
        </w:numPr>
      </w:pPr>
      <w:r>
        <w:rPr>
          <w:rFonts w:hint="cs"/>
          <w:rtl/>
        </w:rPr>
        <w:t>רק כאשר הגזלה לא קיימת</w:t>
      </w:r>
      <w:r w:rsidR="003170E5">
        <w:rPr>
          <w:rFonts w:hint="cs"/>
          <w:rtl/>
        </w:rPr>
        <w:t xml:space="preserve"> (כ</w:t>
      </w:r>
      <w:r w:rsidR="002F1B25">
        <w:rPr>
          <w:rFonts w:hint="cs"/>
          <w:rtl/>
        </w:rPr>
        <w:t xml:space="preserve">דברי </w:t>
      </w:r>
      <w:r w:rsidR="003170E5">
        <w:rPr>
          <w:rFonts w:hint="cs"/>
          <w:rtl/>
        </w:rPr>
        <w:t>רב נחמן בגמרא)</w:t>
      </w:r>
    </w:p>
    <w:p w14:paraId="1B9529AF" w14:textId="6470FFA6" w:rsidR="009402E4" w:rsidRDefault="009402E4" w:rsidP="009402E4">
      <w:pPr>
        <w:pStyle w:val="af4"/>
        <w:numPr>
          <w:ilvl w:val="0"/>
          <w:numId w:val="10"/>
        </w:numPr>
      </w:pPr>
      <w:r>
        <w:rPr>
          <w:rFonts w:hint="cs"/>
          <w:rtl/>
        </w:rPr>
        <w:t>רק אם הגזלן רצה לעשות תשובה, והחזיר מאליו</w:t>
      </w:r>
      <w:r w:rsidR="003170E5">
        <w:rPr>
          <w:rFonts w:hint="cs"/>
          <w:rtl/>
        </w:rPr>
        <w:t xml:space="preserve"> (חולק על דברי תוספות)</w:t>
      </w:r>
    </w:p>
    <w:p w14:paraId="4A46E45D" w14:textId="32D59B0E" w:rsidR="009402E4" w:rsidRDefault="009402E4" w:rsidP="009402E4">
      <w:pPr>
        <w:rPr>
          <w:rtl/>
        </w:rPr>
      </w:pPr>
      <w:r>
        <w:rPr>
          <w:rFonts w:hint="cs"/>
          <w:rtl/>
        </w:rPr>
        <w:t>ואיזה הגבלות הוא לא סבר:</w:t>
      </w:r>
    </w:p>
    <w:p w14:paraId="47AA3FAD" w14:textId="4D511685" w:rsidR="009402E4" w:rsidRDefault="001F3DEA" w:rsidP="009402E4">
      <w:pPr>
        <w:pStyle w:val="af4"/>
        <w:numPr>
          <w:ilvl w:val="0"/>
          <w:numId w:val="11"/>
        </w:numPr>
      </w:pPr>
      <w:r>
        <w:rPr>
          <w:rFonts w:hint="cs"/>
          <w:rtl/>
        </w:rPr>
        <w:t>ש</w:t>
      </w:r>
      <w:r w:rsidR="009402E4">
        <w:rPr>
          <w:rFonts w:hint="cs"/>
          <w:rtl/>
        </w:rPr>
        <w:t>מדובר רק בגזלנים מקצועיים</w:t>
      </w:r>
      <w:r w:rsidR="003170E5">
        <w:rPr>
          <w:rFonts w:hint="cs"/>
          <w:rtl/>
        </w:rPr>
        <w:t xml:space="preserve"> (חולק על ר"י)</w:t>
      </w:r>
    </w:p>
    <w:p w14:paraId="690E2B0B" w14:textId="3AD9B9A5" w:rsidR="009402E4" w:rsidRDefault="001F3DEA" w:rsidP="009402E4">
      <w:pPr>
        <w:pStyle w:val="af4"/>
        <w:numPr>
          <w:ilvl w:val="0"/>
          <w:numId w:val="11"/>
        </w:numPr>
      </w:pPr>
      <w:r>
        <w:rPr>
          <w:rFonts w:hint="cs"/>
          <w:rtl/>
        </w:rPr>
        <w:t>ש</w:t>
      </w:r>
      <w:r w:rsidR="009402E4">
        <w:rPr>
          <w:rFonts w:hint="cs"/>
          <w:rtl/>
        </w:rPr>
        <w:t>התקנה הייתה רק לדורו של רבי</w:t>
      </w:r>
      <w:r w:rsidR="003170E5">
        <w:rPr>
          <w:rFonts w:hint="cs"/>
          <w:rtl/>
        </w:rPr>
        <w:t xml:space="preserve"> (כי הוא פסק את זה להלכה, ולכן חולק על ר"ת)</w:t>
      </w:r>
    </w:p>
    <w:p w14:paraId="2535CFD9" w14:textId="252AF4F7" w:rsidR="00ED0A55" w:rsidRDefault="00ED0A55" w:rsidP="00ED0A55">
      <w:pPr>
        <w:rPr>
          <w:rtl/>
        </w:rPr>
      </w:pPr>
      <w:r>
        <w:rPr>
          <w:rFonts w:hint="cs"/>
          <w:rtl/>
        </w:rPr>
        <w:lastRenderedPageBreak/>
        <w:t xml:space="preserve">כמו כן נראה מלשונו "אלא עוזרין אותו ומוחלין אותו", שמטרת התקנה היא לא רק שלא לקבל מהגזלנים כלל, אלא </w:t>
      </w:r>
      <w:r w:rsidR="001F3DEA">
        <w:rPr>
          <w:rFonts w:hint="cs"/>
          <w:rtl/>
        </w:rPr>
        <w:t xml:space="preserve">גם </w:t>
      </w:r>
      <w:r>
        <w:rPr>
          <w:rFonts w:hint="cs"/>
          <w:rtl/>
        </w:rPr>
        <w:t>למחול להם</w:t>
      </w:r>
      <w:r w:rsidR="001F3DEA">
        <w:rPr>
          <w:rFonts w:hint="cs"/>
          <w:rtl/>
        </w:rPr>
        <w:t>.</w:t>
      </w:r>
    </w:p>
    <w:p w14:paraId="51F1C0E2" w14:textId="45F98ECA" w:rsidR="00752686" w:rsidRDefault="00752686" w:rsidP="00752686">
      <w:pPr>
        <w:rPr>
          <w:rtl/>
        </w:rPr>
      </w:pPr>
      <w:r>
        <w:rPr>
          <w:rFonts w:hint="cs"/>
          <w:rtl/>
        </w:rPr>
        <w:t xml:space="preserve">כעת </w:t>
      </w:r>
      <w:r w:rsidR="00E3422C">
        <w:rPr>
          <w:rFonts w:hint="cs"/>
          <w:rtl/>
        </w:rPr>
        <w:t>נשאר רק</w:t>
      </w:r>
      <w:r>
        <w:rPr>
          <w:rFonts w:hint="cs"/>
          <w:rtl/>
        </w:rPr>
        <w:t xml:space="preserve">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2CB13AAB" w:rsidR="00517B33" w:rsidRDefault="00752686" w:rsidP="00A056F3">
      <w:pPr>
        <w:rPr>
          <w:rtl/>
        </w:rPr>
      </w:pPr>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p>
    <w:p w14:paraId="262474A9" w14:textId="68D17477" w:rsidR="001F3DEA" w:rsidRDefault="001922CD" w:rsidP="001922CD">
      <w:pPr>
        <w:rPr>
          <w:rtl/>
        </w:rPr>
      </w:pPr>
      <w:r>
        <w:rPr>
          <w:rFonts w:hint="cs"/>
          <w:rtl/>
        </w:rPr>
        <w:t xml:space="preserve">אולי אפשר למצוא סיוע לכך בדברי </w:t>
      </w:r>
      <w:r w:rsidR="001F3DEA">
        <w:rPr>
          <w:rFonts w:hint="cs"/>
          <w:rtl/>
        </w:rPr>
        <w:t>המגיד משנה</w:t>
      </w:r>
      <w:r>
        <w:fldChar w:fldCharType="begin"/>
      </w:r>
      <w:r>
        <w:rPr>
          <w:rtl/>
        </w:rPr>
        <w:instrText xml:space="preserve"> </w:instrText>
      </w:r>
      <w:r>
        <w:rPr>
          <w:rFonts w:hint="cs"/>
        </w:rPr>
        <w:instrText>NOTEREF</w:instrText>
      </w:r>
      <w:r>
        <w:rPr>
          <w:rFonts w:hint="cs"/>
          <w:rtl/>
        </w:rPr>
        <w:instrText xml:space="preserve"> _</w:instrText>
      </w:r>
      <w:r>
        <w:rPr>
          <w:rFonts w:hint="cs"/>
        </w:rPr>
        <w:instrText>Ref104929980 \f \h</w:instrText>
      </w:r>
      <w:r>
        <w:rPr>
          <w:rtl/>
        </w:rPr>
        <w:instrText xml:space="preserve"> </w:instrText>
      </w:r>
      <w:r>
        <w:fldChar w:fldCharType="separate"/>
      </w:r>
      <w:r w:rsidRPr="001922CD">
        <w:rPr>
          <w:rStyle w:val="ab"/>
          <w:rtl/>
        </w:rPr>
        <w:t>6</w:t>
      </w:r>
      <w:r>
        <w:fldChar w:fldCharType="end"/>
      </w:r>
      <w:r>
        <w:rPr>
          <w:rFonts w:hint="cs"/>
          <w:rtl/>
        </w:rPr>
        <w:t>:</w:t>
      </w:r>
    </w:p>
    <w:p w14:paraId="1B6CA3B4" w14:textId="5C794AC5" w:rsidR="001922CD" w:rsidRDefault="001922CD" w:rsidP="001922CD">
      <w:pPr>
        <w:ind w:left="720"/>
        <w:rPr>
          <w:rtl/>
        </w:rPr>
      </w:pPr>
      <w:r>
        <w:rPr>
          <w:rtl/>
        </w:rPr>
        <w:t>ול"נ שאע"פ שאמרו המקבל אין רוח חכמים נוחה הימנו אם רוצה לקבל ולכוף את הגזלן בב"ד הם נזקקין לו</w:t>
      </w:r>
      <w:r w:rsidR="00CA31D4">
        <w:rPr>
          <w:rStyle w:val="ab"/>
          <w:rtl/>
        </w:rPr>
        <w:footnoteReference w:id="32"/>
      </w:r>
      <w:r>
        <w:rPr>
          <w:rtl/>
        </w:rPr>
        <w:t>.</w:t>
      </w:r>
    </w:p>
    <w:p w14:paraId="7FE47D8F" w14:textId="02CEB786" w:rsidR="001922CD" w:rsidRDefault="001922CD" w:rsidP="001922CD">
      <w:r>
        <w:rPr>
          <w:rFonts w:hint="cs"/>
          <w:rtl/>
        </w:rPr>
        <w:t>לדבריו, מעיקר הדין הנגזל יכול לבחור לקבל את הגזילה מהגזלן למרות תקנת החכמים</w:t>
      </w:r>
      <w:r w:rsidR="0013219C">
        <w:rPr>
          <w:rFonts w:hint="cs"/>
          <w:rtl/>
        </w:rPr>
        <w:t xml:space="preserve"> (למרות שבמקרה כזה לא תהיה רוח חכמים נוחה הימנו)</w:t>
      </w:r>
      <w:r>
        <w:rPr>
          <w:rFonts w:hint="cs"/>
          <w:rtl/>
        </w:rPr>
        <w:t xml:space="preserve">, ולא רק זה </w:t>
      </w:r>
      <w:r>
        <w:rPr>
          <w:rtl/>
        </w:rPr>
        <w:t>–</w:t>
      </w:r>
      <w:r>
        <w:rPr>
          <w:rFonts w:hint="cs"/>
          <w:rtl/>
        </w:rPr>
        <w:t xml:space="preserve"> אם הוא רוצה לתבוע את הגזלן בבית הדין, הם משתפים איתו פעולה בכך.</w:t>
      </w:r>
    </w:p>
    <w:sectPr w:rsidR="001922CD" w:rsidSect="00446D94">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CDA5" w14:textId="77777777" w:rsidR="00CB38BF" w:rsidRDefault="00CB38BF" w:rsidP="00CD34AC">
      <w:pPr>
        <w:spacing w:after="0"/>
      </w:pPr>
      <w:r>
        <w:separator/>
      </w:r>
    </w:p>
  </w:endnote>
  <w:endnote w:type="continuationSeparator" w:id="0">
    <w:p w14:paraId="78B733E3" w14:textId="77777777" w:rsidR="00CB38BF" w:rsidRDefault="00CB38BF"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1801" w14:textId="77777777" w:rsidR="00CB38BF" w:rsidRDefault="00CB38BF" w:rsidP="00CD34AC">
      <w:pPr>
        <w:spacing w:after="0"/>
      </w:pPr>
      <w:r>
        <w:separator/>
      </w:r>
    </w:p>
  </w:footnote>
  <w:footnote w:type="continuationSeparator" w:id="0">
    <w:p w14:paraId="56FB61D3" w14:textId="77777777" w:rsidR="00CB38BF" w:rsidRDefault="00CB38BF"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2D578645" w:rsidR="00694AC9" w:rsidRDefault="00694AC9" w:rsidP="00694AC9">
      <w:pPr>
        <w:pStyle w:val="a5"/>
      </w:pPr>
      <w:r>
        <w:rPr>
          <w:rStyle w:val="ab"/>
        </w:rPr>
        <w:footnoteRef/>
      </w:r>
      <w:r>
        <w:rPr>
          <w:rtl/>
        </w:rPr>
        <w:t xml:space="preserve"> </w:t>
      </w:r>
      <w:r>
        <w:rPr>
          <w:rFonts w:hint="cs"/>
          <w:rtl/>
        </w:rPr>
        <w:t>ה</w:t>
      </w:r>
      <w:r>
        <w:rPr>
          <w:rtl/>
        </w:rPr>
        <w:t>מהרש"א</w:t>
      </w:r>
      <w:r w:rsidR="000F650E">
        <w:rPr>
          <w:rFonts w:hint="cs"/>
          <w:rtl/>
        </w:rPr>
        <w:t xml:space="preserve"> (בחידושי אגדות כאן)</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02CA915C" w14:textId="03920CE3" w:rsidR="00355BDC" w:rsidRDefault="00355BDC">
      <w:pPr>
        <w:pStyle w:val="a5"/>
      </w:pPr>
      <w:r>
        <w:rPr>
          <w:rStyle w:val="ab"/>
        </w:rPr>
        <w:footnoteRef/>
      </w:r>
      <w:r>
        <w:rPr>
          <w:rtl/>
        </w:rPr>
        <w:t xml:space="preserve"> </w:t>
      </w:r>
      <w:r>
        <w:rPr>
          <w:rFonts w:hint="cs"/>
          <w:rtl/>
        </w:rPr>
        <w:t>חושן משפט שסו</w:t>
      </w:r>
    </w:p>
  </w:footnote>
  <w:footnote w:id="11">
    <w:p w14:paraId="6116465B" w14:textId="181E6AC4" w:rsidR="00BE3CE9" w:rsidRDefault="00BE3CE9" w:rsidP="00BE3CE9">
      <w:pPr>
        <w:pStyle w:val="a5"/>
      </w:pPr>
      <w:r>
        <w:rPr>
          <w:rStyle w:val="ab"/>
        </w:rPr>
        <w:footnoteRef/>
      </w:r>
      <w:r>
        <w:rPr>
          <w:rtl/>
        </w:rPr>
        <w:t xml:space="preserve"> </w:t>
      </w:r>
      <w:r>
        <w:rPr>
          <w:rFonts w:hint="cs"/>
          <w:rtl/>
        </w:rPr>
        <w:t xml:space="preserve">כך גם פסקו </w:t>
      </w:r>
      <w:r w:rsidR="00531583">
        <w:rPr>
          <w:rFonts w:hint="cs"/>
          <w:rtl/>
        </w:rPr>
        <w:t xml:space="preserve">הרמב"ם, </w:t>
      </w:r>
      <w:r>
        <w:rPr>
          <w:rFonts w:hint="cs"/>
          <w:rtl/>
        </w:rPr>
        <w:t>הרי"ף והרא"ש</w:t>
      </w:r>
      <w:r w:rsidR="00CA12F7">
        <w:rPr>
          <w:rFonts w:hint="cs"/>
          <w:rtl/>
        </w:rPr>
        <w:t>.</w:t>
      </w:r>
    </w:p>
  </w:footnote>
  <w:footnote w:id="12">
    <w:p w14:paraId="64CC369C" w14:textId="767D1057" w:rsidR="004D162D" w:rsidRPr="004D162D" w:rsidRDefault="004D162D">
      <w:pPr>
        <w:pStyle w:val="a5"/>
        <w:rPr>
          <w:rtl/>
        </w:rPr>
      </w:pPr>
      <w:r>
        <w:rPr>
          <w:rStyle w:val="ab"/>
        </w:rPr>
        <w:footnoteRef/>
      </w:r>
      <w:r>
        <w:rPr>
          <w:rtl/>
        </w:rPr>
        <w:t xml:space="preserve"> </w:t>
      </w:r>
      <w:r>
        <w:rPr>
          <w:rFonts w:hint="cs"/>
          <w:rtl/>
        </w:rPr>
        <w:t xml:space="preserve">הראב"ד (מובא במאירי) אומר שגם אם יש בידו </w:t>
      </w:r>
      <w:r>
        <w:rPr>
          <w:rFonts w:hint="cs"/>
          <w:u w:val="single"/>
          <w:rtl/>
        </w:rPr>
        <w:t>מחמת הגזילה</w:t>
      </w:r>
      <w:r>
        <w:rPr>
          <w:rFonts w:hint="cs"/>
          <w:rtl/>
        </w:rPr>
        <w:t>, ולא הגזילה עצמה, חייב להחזיר</w:t>
      </w:r>
    </w:p>
  </w:footnote>
  <w:footnote w:id="13">
    <w:p w14:paraId="2D395BE4" w14:textId="60CA8F28" w:rsidR="00594A39" w:rsidRDefault="00594A39">
      <w:pPr>
        <w:pStyle w:val="a5"/>
        <w:rPr>
          <w:rtl/>
        </w:rPr>
      </w:pPr>
      <w:r>
        <w:rPr>
          <w:rStyle w:val="ab"/>
        </w:rPr>
        <w:footnoteRef/>
      </w:r>
      <w:r>
        <w:rPr>
          <w:rtl/>
        </w:rPr>
        <w:t xml:space="preserve"> </w:t>
      </w:r>
      <w:r>
        <w:rPr>
          <w:rFonts w:hint="cs"/>
          <w:rtl/>
        </w:rPr>
        <w:t>בספר הישר, סימן תקנא</w:t>
      </w:r>
    </w:p>
  </w:footnote>
  <w:footnote w:id="14">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5">
    <w:p w14:paraId="2CAD7346" w14:textId="6CFDD6C0" w:rsidR="007471E6" w:rsidRDefault="007471E6">
      <w:pPr>
        <w:pStyle w:val="a5"/>
      </w:pPr>
      <w:r>
        <w:rPr>
          <w:rStyle w:val="ab"/>
        </w:rPr>
        <w:footnoteRef/>
      </w:r>
      <w:r>
        <w:rPr>
          <w:rtl/>
        </w:rPr>
        <w:t xml:space="preserve"> </w:t>
      </w:r>
      <w:r>
        <w:rPr>
          <w:rFonts w:hint="cs"/>
          <w:rtl/>
        </w:rPr>
        <w:t>דף צו ע</w:t>
      </w:r>
      <w:r w:rsidRPr="004C3112">
        <w:rPr>
          <w:rStyle w:val="af3"/>
          <w:rFonts w:hint="cs"/>
          <w:rtl/>
        </w:rPr>
        <w:t>"ב, "</w:t>
      </w:r>
      <w:r w:rsidRPr="004C3112">
        <w:rPr>
          <w:rStyle w:val="af3"/>
          <w:rtl/>
        </w:rPr>
        <w:t>האי אינש גזלנא עתיקא הוא ובעינא דאיקנסי</w:t>
      </w:r>
      <w:r>
        <w:rPr>
          <w:rStyle w:val="af3"/>
          <w:rFonts w:hint="cs"/>
          <w:rtl/>
        </w:rPr>
        <w:t>ה"</w:t>
      </w:r>
    </w:p>
  </w:footnote>
  <w:footnote w:id="16">
    <w:p w14:paraId="4D639470" w14:textId="2A0B2294" w:rsidR="00A2197D" w:rsidRDefault="00A2197D">
      <w:pPr>
        <w:pStyle w:val="a5"/>
      </w:pPr>
      <w:r>
        <w:rPr>
          <w:rStyle w:val="ab"/>
        </w:rPr>
        <w:footnoteRef/>
      </w:r>
      <w:r>
        <w:rPr>
          <w:rtl/>
        </w:rPr>
        <w:t xml:space="preserve"> </w:t>
      </w:r>
      <w:r w:rsidR="007F64BD">
        <w:rPr>
          <w:rFonts w:hint="cs"/>
          <w:rtl/>
        </w:rPr>
        <w:t>פרק ח', הלכה י"א</w:t>
      </w:r>
      <w:r w:rsidR="008776B7">
        <w:rPr>
          <w:rFonts w:hint="cs"/>
          <w:rtl/>
        </w:rPr>
        <w:t xml:space="preserve"> [בחלק מהמקומות = הלכה י"ב] </w:t>
      </w:r>
    </w:p>
  </w:footnote>
  <w:footnote w:id="17">
    <w:p w14:paraId="3CF7A8A2" w14:textId="6DD33E40" w:rsidR="000E258C" w:rsidRDefault="000E258C">
      <w:pPr>
        <w:pStyle w:val="a5"/>
      </w:pPr>
      <w:r>
        <w:rPr>
          <w:rStyle w:val="ab"/>
        </w:rPr>
        <w:footnoteRef/>
      </w:r>
      <w:r>
        <w:rPr>
          <w:rtl/>
        </w:rPr>
        <w:t xml:space="preserve"> </w:t>
      </w:r>
      <w:r>
        <w:rPr>
          <w:rFonts w:hint="cs"/>
          <w:rtl/>
        </w:rPr>
        <w:t>שניהם מובאים בשיטה מקובצת</w:t>
      </w:r>
    </w:p>
  </w:footnote>
  <w:footnote w:id="18">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9">
    <w:p w14:paraId="5C339E38" w14:textId="0F1C83AC" w:rsidR="00BE3CE9" w:rsidRDefault="00BE3CE9">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20">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1">
    <w:p w14:paraId="62F8EFBD" w14:textId="6E267B2C" w:rsidR="0027615D" w:rsidRDefault="0027615D">
      <w:pPr>
        <w:pStyle w:val="a5"/>
        <w:rPr>
          <w:rtl/>
        </w:rPr>
      </w:pPr>
      <w:r>
        <w:rPr>
          <w:rStyle w:val="ab"/>
        </w:rPr>
        <w:footnoteRef/>
      </w:r>
      <w:r>
        <w:rPr>
          <w:rtl/>
        </w:rPr>
        <w:t xml:space="preserve"> </w:t>
      </w:r>
      <w:r>
        <w:rPr>
          <w:rFonts w:hint="cs"/>
          <w:rtl/>
        </w:rPr>
        <w:t>מובא ביש"ש סימן ג'</w:t>
      </w:r>
    </w:p>
  </w:footnote>
  <w:footnote w:id="22">
    <w:p w14:paraId="0B888814" w14:textId="77777777" w:rsidR="001657DE" w:rsidRDefault="001657DE" w:rsidP="001657DE">
      <w:pPr>
        <w:pStyle w:val="a5"/>
        <w:rPr>
          <w:rtl/>
        </w:rPr>
      </w:pPr>
      <w:r>
        <w:rPr>
          <w:rStyle w:val="ab"/>
        </w:rPr>
        <w:footnoteRef/>
      </w:r>
      <w:r>
        <w:rPr>
          <w:rtl/>
        </w:rPr>
        <w:t xml:space="preserve"> </w:t>
      </w:r>
      <w:r w:rsidRPr="001657DE">
        <w:rPr>
          <w:sz w:val="24"/>
          <w:rtl/>
        </w:rPr>
        <w:t>כרך ב סימן מה</w:t>
      </w:r>
    </w:p>
  </w:footnote>
  <w:footnote w:id="23">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4">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5">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6">
    <w:p w14:paraId="153E6E02" w14:textId="3321EB42" w:rsidR="00687168" w:rsidRDefault="00687168">
      <w:pPr>
        <w:pStyle w:val="a5"/>
      </w:pPr>
      <w:r>
        <w:rPr>
          <w:rStyle w:val="ab"/>
        </w:rPr>
        <w:footnoteRef/>
      </w:r>
      <w:r>
        <w:rPr>
          <w:rtl/>
        </w:rPr>
        <w:t xml:space="preserve"> </w:t>
      </w:r>
      <w:r>
        <w:rPr>
          <w:rFonts w:hint="cs"/>
          <w:rtl/>
        </w:rPr>
        <w:t>עמ' 21-22, לאחר עריכה קלה</w:t>
      </w:r>
    </w:p>
  </w:footnote>
  <w:footnote w:id="27">
    <w:p w14:paraId="258791F8" w14:textId="247D6009" w:rsidR="007C0568" w:rsidRDefault="007C0568">
      <w:pPr>
        <w:pStyle w:val="a5"/>
        <w:rPr>
          <w:rtl/>
        </w:rPr>
      </w:pPr>
      <w:r>
        <w:rPr>
          <w:rStyle w:val="ab"/>
        </w:rPr>
        <w:footnoteRef/>
      </w:r>
      <w:r>
        <w:rPr>
          <w:rtl/>
        </w:rPr>
        <w:t xml:space="preserve"> </w:t>
      </w:r>
      <w:r>
        <w:rPr>
          <w:rFonts w:hint="cs"/>
          <w:rtl/>
        </w:rPr>
        <w:t>כה ע"ב</w:t>
      </w:r>
    </w:p>
  </w:footnote>
  <w:footnote w:id="28">
    <w:p w14:paraId="5C7020A4" w14:textId="015F7025" w:rsidR="007C0568" w:rsidRDefault="007C0568">
      <w:pPr>
        <w:pStyle w:val="a5"/>
        <w:rPr>
          <w:rtl/>
        </w:rPr>
      </w:pPr>
      <w:r>
        <w:rPr>
          <w:rStyle w:val="ab"/>
        </w:rPr>
        <w:footnoteRef/>
      </w:r>
      <w:r>
        <w:rPr>
          <w:rtl/>
        </w:rPr>
        <w:t xml:space="preserve"> </w:t>
      </w:r>
      <w:r>
        <w:rPr>
          <w:rFonts w:hint="cs"/>
          <w:rtl/>
        </w:rPr>
        <w:t>הלכות עדות פרק י"ב הלכות ה'-ח'</w:t>
      </w:r>
    </w:p>
  </w:footnote>
  <w:footnote w:id="29">
    <w:p w14:paraId="1027E24E" w14:textId="510BEA07" w:rsidR="006A6E4E" w:rsidRDefault="006A6E4E">
      <w:pPr>
        <w:pStyle w:val="a5"/>
      </w:pPr>
      <w:r>
        <w:rPr>
          <w:rStyle w:val="ab"/>
        </w:rPr>
        <w:footnoteRef/>
      </w:r>
      <w:r>
        <w:rPr>
          <w:rtl/>
        </w:rPr>
        <w:t xml:space="preserve"> </w:t>
      </w:r>
      <w:r>
        <w:rPr>
          <w:rFonts w:hint="cs"/>
          <w:rtl/>
        </w:rPr>
        <w:t>פח ע"ב, ד"ה התם אפשר בתשובה</w:t>
      </w:r>
    </w:p>
  </w:footnote>
  <w:footnote w:id="30">
    <w:p w14:paraId="62F5091F" w14:textId="0A8E4300" w:rsidR="006A6E4E" w:rsidRDefault="006A6E4E">
      <w:pPr>
        <w:pStyle w:val="a5"/>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31">
    <w:p w14:paraId="32C0E348" w14:textId="57F7A2D2" w:rsidR="006A6E4E" w:rsidRDefault="006A6E4E">
      <w:pPr>
        <w:pStyle w:val="a5"/>
      </w:pPr>
      <w:r>
        <w:rPr>
          <w:rStyle w:val="ab"/>
        </w:rPr>
        <w:footnoteRef/>
      </w:r>
      <w:r>
        <w:rPr>
          <w:rtl/>
        </w:rPr>
        <w:t xml:space="preserve"> </w:t>
      </w:r>
      <w:r>
        <w:rPr>
          <w:rFonts w:hint="cs"/>
          <w:rtl/>
        </w:rPr>
        <w:t>בב</w:t>
      </w:r>
      <w:r w:rsidR="00681B47">
        <w:rPr>
          <w:rFonts w:hint="cs"/>
          <w:rtl/>
        </w:rPr>
        <w:t>א בתרא</w:t>
      </w:r>
      <w:r>
        <w:rPr>
          <w:rFonts w:hint="cs"/>
          <w:rtl/>
        </w:rPr>
        <w:t xml:space="preserve"> אות שיד</w:t>
      </w:r>
    </w:p>
  </w:footnote>
  <w:footnote w:id="32">
    <w:p w14:paraId="34364DFF" w14:textId="5B9332B2" w:rsidR="00CA31D4" w:rsidRDefault="00CA31D4">
      <w:pPr>
        <w:pStyle w:val="a5"/>
      </w:pPr>
      <w:r>
        <w:rPr>
          <w:rStyle w:val="ab"/>
        </w:rPr>
        <w:footnoteRef/>
      </w:r>
      <w:r>
        <w:rPr>
          <w:rFonts w:hint="cs"/>
          <w:rtl/>
        </w:rPr>
        <w:t xml:space="preserve"> עיין לחם משנה שם, שמקשה על המ"מ שאם הנגזל אכן יכול לכוף את הגזלן בב"ד למרות התקנה, אז הגמרא אצלנו הייתה יכולה לתרץ את שני המקרים הללו כך </w:t>
      </w:r>
      <w:r>
        <w:rPr>
          <w:rtl/>
        </w:rPr>
        <w:t>–</w:t>
      </w:r>
      <w:r>
        <w:rPr>
          <w:rFonts w:hint="cs"/>
          <w:rtl/>
        </w:rPr>
        <w:t xml:space="preserve"> </w:t>
      </w:r>
      <w:r w:rsidR="00810A98">
        <w:rPr>
          <w:rFonts w:hint="cs"/>
          <w:rtl/>
        </w:rPr>
        <w:t>אמנם התקנה היא שאין מקבלים מהם, אבל הם בחרו לקבל.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E30B6"/>
    <w:multiLevelType w:val="hybridMultilevel"/>
    <w:tmpl w:val="795C4910"/>
    <w:lvl w:ilvl="0" w:tplc="3724AB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1077E"/>
    <w:multiLevelType w:val="hybridMultilevel"/>
    <w:tmpl w:val="4D1EF3FA"/>
    <w:lvl w:ilvl="0" w:tplc="6130CC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2"/>
  </w:num>
  <w:num w:numId="6">
    <w:abstractNumId w:val="10"/>
  </w:num>
  <w:num w:numId="7">
    <w:abstractNumId w:val="1"/>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45CCD"/>
    <w:rsid w:val="00055F1A"/>
    <w:rsid w:val="000C6DF5"/>
    <w:rsid w:val="000E258C"/>
    <w:rsid w:val="000F650E"/>
    <w:rsid w:val="001076B3"/>
    <w:rsid w:val="00121FC0"/>
    <w:rsid w:val="0013219C"/>
    <w:rsid w:val="00137195"/>
    <w:rsid w:val="00147567"/>
    <w:rsid w:val="001657DE"/>
    <w:rsid w:val="001665B7"/>
    <w:rsid w:val="0018184A"/>
    <w:rsid w:val="001859BD"/>
    <w:rsid w:val="001922CD"/>
    <w:rsid w:val="0019685E"/>
    <w:rsid w:val="001C21CC"/>
    <w:rsid w:val="001C6707"/>
    <w:rsid w:val="001F0F9D"/>
    <w:rsid w:val="001F120C"/>
    <w:rsid w:val="001F3942"/>
    <w:rsid w:val="001F3DEA"/>
    <w:rsid w:val="00205E2A"/>
    <w:rsid w:val="0022335F"/>
    <w:rsid w:val="002440AA"/>
    <w:rsid w:val="002458B3"/>
    <w:rsid w:val="00247E4B"/>
    <w:rsid w:val="002630A9"/>
    <w:rsid w:val="002640EF"/>
    <w:rsid w:val="00264875"/>
    <w:rsid w:val="0027615D"/>
    <w:rsid w:val="00295891"/>
    <w:rsid w:val="002974D9"/>
    <w:rsid w:val="002975CE"/>
    <w:rsid w:val="002B4B20"/>
    <w:rsid w:val="002C6430"/>
    <w:rsid w:val="002C7ED9"/>
    <w:rsid w:val="002D20BC"/>
    <w:rsid w:val="002D2A56"/>
    <w:rsid w:val="002E4168"/>
    <w:rsid w:val="002F1B25"/>
    <w:rsid w:val="0031410F"/>
    <w:rsid w:val="003170E5"/>
    <w:rsid w:val="00333DB9"/>
    <w:rsid w:val="0034429A"/>
    <w:rsid w:val="00345EB8"/>
    <w:rsid w:val="00355BDC"/>
    <w:rsid w:val="00372A39"/>
    <w:rsid w:val="00382412"/>
    <w:rsid w:val="00394BC1"/>
    <w:rsid w:val="003A30C2"/>
    <w:rsid w:val="003B1F41"/>
    <w:rsid w:val="003B3096"/>
    <w:rsid w:val="003C4699"/>
    <w:rsid w:val="003D0236"/>
    <w:rsid w:val="003E2050"/>
    <w:rsid w:val="003E4124"/>
    <w:rsid w:val="003E5630"/>
    <w:rsid w:val="003F24B0"/>
    <w:rsid w:val="003F69A7"/>
    <w:rsid w:val="00414F0F"/>
    <w:rsid w:val="00417676"/>
    <w:rsid w:val="00420DDD"/>
    <w:rsid w:val="00423609"/>
    <w:rsid w:val="00444EFB"/>
    <w:rsid w:val="0044601A"/>
    <w:rsid w:val="00446711"/>
    <w:rsid w:val="00446D94"/>
    <w:rsid w:val="00466732"/>
    <w:rsid w:val="004875C1"/>
    <w:rsid w:val="004949B7"/>
    <w:rsid w:val="004C3112"/>
    <w:rsid w:val="004D146B"/>
    <w:rsid w:val="004D162D"/>
    <w:rsid w:val="004D34A1"/>
    <w:rsid w:val="004D59AE"/>
    <w:rsid w:val="004F368D"/>
    <w:rsid w:val="004F7E4E"/>
    <w:rsid w:val="00510D8A"/>
    <w:rsid w:val="00517B33"/>
    <w:rsid w:val="00531583"/>
    <w:rsid w:val="005774BE"/>
    <w:rsid w:val="00580294"/>
    <w:rsid w:val="00594A39"/>
    <w:rsid w:val="005959FA"/>
    <w:rsid w:val="005965B3"/>
    <w:rsid w:val="0059731E"/>
    <w:rsid w:val="005B0364"/>
    <w:rsid w:val="005B50CC"/>
    <w:rsid w:val="005C4D90"/>
    <w:rsid w:val="005C6576"/>
    <w:rsid w:val="005D778E"/>
    <w:rsid w:val="006140F2"/>
    <w:rsid w:val="0061639B"/>
    <w:rsid w:val="00661C3C"/>
    <w:rsid w:val="0067107D"/>
    <w:rsid w:val="006725D7"/>
    <w:rsid w:val="00681B47"/>
    <w:rsid w:val="006856EA"/>
    <w:rsid w:val="006861A4"/>
    <w:rsid w:val="00687168"/>
    <w:rsid w:val="00694AC9"/>
    <w:rsid w:val="00696165"/>
    <w:rsid w:val="006A6E4E"/>
    <w:rsid w:val="006C2AC3"/>
    <w:rsid w:val="006C5113"/>
    <w:rsid w:val="006C7830"/>
    <w:rsid w:val="006F31E6"/>
    <w:rsid w:val="006F3263"/>
    <w:rsid w:val="0072639B"/>
    <w:rsid w:val="00734E01"/>
    <w:rsid w:val="0073673F"/>
    <w:rsid w:val="007368C9"/>
    <w:rsid w:val="007471E6"/>
    <w:rsid w:val="00751CED"/>
    <w:rsid w:val="00752686"/>
    <w:rsid w:val="007666EC"/>
    <w:rsid w:val="007738B6"/>
    <w:rsid w:val="00777954"/>
    <w:rsid w:val="00781852"/>
    <w:rsid w:val="007B03A3"/>
    <w:rsid w:val="007C0568"/>
    <w:rsid w:val="007C6239"/>
    <w:rsid w:val="007F3F6B"/>
    <w:rsid w:val="007F64BD"/>
    <w:rsid w:val="00810A98"/>
    <w:rsid w:val="008118F8"/>
    <w:rsid w:val="008232F4"/>
    <w:rsid w:val="0083579B"/>
    <w:rsid w:val="0084400E"/>
    <w:rsid w:val="00867B02"/>
    <w:rsid w:val="008767CF"/>
    <w:rsid w:val="008776B7"/>
    <w:rsid w:val="008B70A4"/>
    <w:rsid w:val="008B77B1"/>
    <w:rsid w:val="008D6562"/>
    <w:rsid w:val="008D6FCD"/>
    <w:rsid w:val="008F604F"/>
    <w:rsid w:val="00924900"/>
    <w:rsid w:val="0093144B"/>
    <w:rsid w:val="00933C89"/>
    <w:rsid w:val="00934D46"/>
    <w:rsid w:val="009402E4"/>
    <w:rsid w:val="00952A82"/>
    <w:rsid w:val="00953B19"/>
    <w:rsid w:val="0096316B"/>
    <w:rsid w:val="00971C95"/>
    <w:rsid w:val="009C02F2"/>
    <w:rsid w:val="009E3F02"/>
    <w:rsid w:val="009F3212"/>
    <w:rsid w:val="009F504A"/>
    <w:rsid w:val="00A056F3"/>
    <w:rsid w:val="00A059B5"/>
    <w:rsid w:val="00A2197D"/>
    <w:rsid w:val="00A372A5"/>
    <w:rsid w:val="00A459AE"/>
    <w:rsid w:val="00A460C0"/>
    <w:rsid w:val="00A64E26"/>
    <w:rsid w:val="00A659A2"/>
    <w:rsid w:val="00A71461"/>
    <w:rsid w:val="00A7226E"/>
    <w:rsid w:val="00A825F8"/>
    <w:rsid w:val="00A848A8"/>
    <w:rsid w:val="00A928AD"/>
    <w:rsid w:val="00AA3427"/>
    <w:rsid w:val="00AC4FE4"/>
    <w:rsid w:val="00AE01CE"/>
    <w:rsid w:val="00B10584"/>
    <w:rsid w:val="00B22214"/>
    <w:rsid w:val="00B3202C"/>
    <w:rsid w:val="00B54CAA"/>
    <w:rsid w:val="00B76F21"/>
    <w:rsid w:val="00BA12FA"/>
    <w:rsid w:val="00BB33F7"/>
    <w:rsid w:val="00BB3710"/>
    <w:rsid w:val="00BC7564"/>
    <w:rsid w:val="00BE3CE9"/>
    <w:rsid w:val="00BE6DF8"/>
    <w:rsid w:val="00C058F3"/>
    <w:rsid w:val="00C134E3"/>
    <w:rsid w:val="00C461A6"/>
    <w:rsid w:val="00C61B2A"/>
    <w:rsid w:val="00C654CE"/>
    <w:rsid w:val="00C80DD2"/>
    <w:rsid w:val="00CA12F7"/>
    <w:rsid w:val="00CA31D4"/>
    <w:rsid w:val="00CB0E56"/>
    <w:rsid w:val="00CB305A"/>
    <w:rsid w:val="00CB3469"/>
    <w:rsid w:val="00CB38BF"/>
    <w:rsid w:val="00CD34AC"/>
    <w:rsid w:val="00CD7C25"/>
    <w:rsid w:val="00D01750"/>
    <w:rsid w:val="00D146F0"/>
    <w:rsid w:val="00D875A9"/>
    <w:rsid w:val="00DA044C"/>
    <w:rsid w:val="00DA5081"/>
    <w:rsid w:val="00DC3A1D"/>
    <w:rsid w:val="00DC5F45"/>
    <w:rsid w:val="00DD6967"/>
    <w:rsid w:val="00DE09A0"/>
    <w:rsid w:val="00DE251B"/>
    <w:rsid w:val="00DF4BA8"/>
    <w:rsid w:val="00E022C6"/>
    <w:rsid w:val="00E1256B"/>
    <w:rsid w:val="00E26D6A"/>
    <w:rsid w:val="00E30B06"/>
    <w:rsid w:val="00E3422C"/>
    <w:rsid w:val="00E36DAE"/>
    <w:rsid w:val="00E36EA2"/>
    <w:rsid w:val="00E54B2D"/>
    <w:rsid w:val="00E72011"/>
    <w:rsid w:val="00EA397A"/>
    <w:rsid w:val="00ED0A55"/>
    <w:rsid w:val="00F05270"/>
    <w:rsid w:val="00F134B8"/>
    <w:rsid w:val="00F67066"/>
    <w:rsid w:val="00F702F7"/>
    <w:rsid w:val="00F803FA"/>
    <w:rsid w:val="00F94C44"/>
    <w:rsid w:val="00FA43FF"/>
    <w:rsid w:val="00FB2277"/>
    <w:rsid w:val="00FB3126"/>
    <w:rsid w:val="00FD15A2"/>
    <w:rsid w:val="00FD1BE7"/>
    <w:rsid w:val="00FE01A8"/>
    <w:rsid w:val="00FF2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2029</Words>
  <Characters>10148</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160</cp:revision>
  <cp:lastPrinted>2022-06-01T16:29:00Z</cp:lastPrinted>
  <dcterms:created xsi:type="dcterms:W3CDTF">2022-05-30T09:07:00Z</dcterms:created>
  <dcterms:modified xsi:type="dcterms:W3CDTF">2022-06-05T20:23:00Z</dcterms:modified>
</cp:coreProperties>
</file>