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6FF51E56" w:rsidR="003E5630" w:rsidRPr="001F0F9D" w:rsidRDefault="003E5630" w:rsidP="001F0F9D">
      <w:pPr>
        <w:pStyle w:val="a3"/>
        <w:rPr>
          <w:rtl/>
        </w:rPr>
      </w:pPr>
      <w:r w:rsidRPr="001F0F9D">
        <w:rPr>
          <w:rFonts w:hint="cs"/>
          <w:rtl/>
        </w:rPr>
        <w:t>תקנת "אין מקבלי</w:t>
      </w:r>
      <w:r w:rsidR="00B22214">
        <w:rPr>
          <w:rFonts w:hint="cs"/>
          <w:rtl/>
        </w:rPr>
        <w:t>ן</w:t>
      </w:r>
      <w:r w:rsidRPr="001F0F9D">
        <w:rPr>
          <w:rFonts w:hint="cs"/>
          <w:rtl/>
        </w:rPr>
        <w:t xml:space="preserve"> ממנו"</w:t>
      </w:r>
    </w:p>
    <w:p w14:paraId="32257793" w14:textId="722902B4" w:rsidR="0061639B" w:rsidRPr="0093144B" w:rsidRDefault="0093144B" w:rsidP="0061639B">
      <w:pPr>
        <w:rPr>
          <w:rtl/>
        </w:rPr>
      </w:pPr>
      <w:r w:rsidRPr="0093144B">
        <w:rPr>
          <w:rFonts w:hint="cs"/>
          <w:rtl/>
        </w:rPr>
        <w:t>הגמרא בדף צד</w:t>
      </w:r>
      <w:r>
        <w:rPr>
          <w:rFonts w:hint="cs"/>
          <w:rtl/>
        </w:rPr>
        <w:t xml:space="preserve"> ע"ב</w:t>
      </w:r>
      <w:r w:rsidRPr="0093144B">
        <w:rPr>
          <w:rFonts w:hint="cs"/>
          <w:rtl/>
        </w:rPr>
        <w:t xml:space="preserve"> </w:t>
      </w:r>
      <w:r w:rsidR="004D59AE">
        <w:rPr>
          <w:rFonts w:hint="cs"/>
          <w:rtl/>
        </w:rPr>
        <w:t>מביאה תקנה שרבי תיקן, בשביל לסייע לגזלנים לחזור בתשובה</w:t>
      </w:r>
      <w:r w:rsidRPr="0093144B">
        <w:rPr>
          <w:rFonts w:hint="cs"/>
          <w:rtl/>
        </w:rPr>
        <w:t>:</w:t>
      </w:r>
    </w:p>
    <w:p w14:paraId="4030A987" w14:textId="7260106C"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 xml:space="preserve">שנה זו; דתניא: מעשה באדם אחד שבקש לעשות תשובה, א"ל אשתו: ריקה,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77777777" w:rsidR="003F24B0" w:rsidRDefault="003F24B0" w:rsidP="003F24B0">
      <w:pPr>
        <w:rPr>
          <w:rtl/>
        </w:rPr>
      </w:pPr>
      <w:r>
        <w:rPr>
          <w:rFonts w:hint="cs"/>
          <w:rtl/>
        </w:rPr>
        <w:t>יש לשאול מספר שאלות:</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8191FB9" w14:textId="7CC3F75D" w:rsidR="003F24B0" w:rsidRDefault="003F24B0" w:rsidP="003F24B0">
      <w:pPr>
        <w:pStyle w:val="af4"/>
        <w:numPr>
          <w:ilvl w:val="0"/>
          <w:numId w:val="2"/>
        </w:numPr>
      </w:pPr>
      <w:r>
        <w:rPr>
          <w:rFonts w:hint="cs"/>
          <w:rtl/>
        </w:rPr>
        <w:t>מה</w:t>
      </w:r>
      <w:r w:rsidR="006C5113">
        <w:rPr>
          <w:rFonts w:hint="cs"/>
          <w:rtl/>
        </w:rPr>
        <w:t>י המשמעות</w:t>
      </w:r>
      <w:r>
        <w:rPr>
          <w:rFonts w:hint="cs"/>
          <w:rtl/>
        </w:rPr>
        <w:t xml:space="preserve"> של "אין רוח חכמים נוחה הימנו"?</w:t>
      </w:r>
    </w:p>
    <w:p w14:paraId="0C1ADA24" w14:textId="77777777" w:rsidR="001076B3" w:rsidRDefault="001076B3" w:rsidP="001076B3">
      <w:pPr>
        <w:pStyle w:val="af4"/>
        <w:numPr>
          <w:ilvl w:val="0"/>
          <w:numId w:val="2"/>
        </w:numPr>
        <w:rPr>
          <w:rtl/>
        </w:rPr>
      </w:pPr>
      <w:r>
        <w:rPr>
          <w:rFonts w:hint="cs"/>
          <w:rtl/>
        </w:rPr>
        <w:t>באיזה תנאים מתקיימת תקנה זו?</w:t>
      </w:r>
    </w:p>
    <w:p w14:paraId="46E2B527" w14:textId="3AF13221"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58C6D594" w14:textId="0FADD593" w:rsidR="002440AA" w:rsidRDefault="002440AA" w:rsidP="002440AA">
      <w:pPr>
        <w:pStyle w:val="1"/>
        <w:rPr>
          <w:rtl/>
        </w:rPr>
      </w:pPr>
      <w:r>
        <w:rPr>
          <w:rFonts w:hint="cs"/>
          <w:rtl/>
        </w:rPr>
        <w:t>כיצד לצאת ידי שמיים</w:t>
      </w:r>
    </w:p>
    <w:p w14:paraId="1135D5BD" w14:textId="2BC5A7E5" w:rsidR="006F3263" w:rsidRDefault="001F0F9D" w:rsidP="006F3263">
      <w:pPr>
        <w:tabs>
          <w:tab w:val="left" w:pos="6503"/>
        </w:tabs>
        <w:rPr>
          <w:rtl/>
        </w:rPr>
      </w:pPr>
      <w:r>
        <w:rPr>
          <w:rFonts w:hint="cs"/>
          <w:rtl/>
        </w:rPr>
        <w:t>נראה ש</w:t>
      </w:r>
      <w:r w:rsidR="006F3263">
        <w:rPr>
          <w:rFonts w:hint="cs"/>
          <w:rtl/>
        </w:rPr>
        <w:t>מצד אחד אין לקבל מהגזלנים את הגזלה ומצד שני הם חייבים להחזיר בשביל לצאת ידי שמיים.</w:t>
      </w:r>
      <w:r>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0" w:name="_Ref104927481"/>
      <w:r w:rsidR="002E4168">
        <w:rPr>
          <w:rStyle w:val="ab"/>
          <w:rtl/>
        </w:rPr>
        <w:footnoteReference w:id="1"/>
      </w:r>
      <w:bookmarkEnd w:id="0"/>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1" w:name="_Ref104929980"/>
      <w:r w:rsidR="006C5113">
        <w:rPr>
          <w:rStyle w:val="ab"/>
          <w:rtl/>
        </w:rPr>
        <w:footnoteReference w:id="2"/>
      </w:r>
      <w:bookmarkEnd w:id="1"/>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3"/>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5AD506F7" w:rsidR="00BE3CE9" w:rsidRPr="00BE3CE9" w:rsidRDefault="00E36EA2" w:rsidP="008118F8">
      <w:pPr>
        <w:rPr>
          <w:sz w:val="24"/>
          <w:rtl/>
        </w:rPr>
      </w:pPr>
      <w:r>
        <w:rPr>
          <w:rFonts w:hint="cs"/>
          <w:rtl/>
        </w:rPr>
        <w:lastRenderedPageBreak/>
        <w:t>כך נראה גם מדברי התוס'</w:t>
      </w:r>
      <w:r>
        <w:rPr>
          <w:rStyle w:val="ab"/>
          <w:rtl/>
        </w:rPr>
        <w:footnoteReference w:id="4"/>
      </w:r>
      <w:r>
        <w:rPr>
          <w:rFonts w:hint="cs"/>
          <w:rtl/>
        </w:rPr>
        <w:t xml:space="preserve">, </w:t>
      </w:r>
      <w:r w:rsidR="00DC5F45">
        <w:rPr>
          <w:rFonts w:hint="cs"/>
          <w:rtl/>
        </w:rPr>
        <w:t>כך הבין גם הריב"ש</w:t>
      </w:r>
      <w:bookmarkStart w:id="2" w:name="_Ref104927447"/>
      <w:r w:rsidR="00DC5F45">
        <w:rPr>
          <w:rStyle w:val="ab"/>
          <w:rtl/>
        </w:rPr>
        <w:footnoteReference w:id="5"/>
      </w:r>
      <w:bookmarkEnd w:id="2"/>
      <w:r w:rsidR="00DC5F45">
        <w:rPr>
          <w:rFonts w:hint="cs"/>
          <w:rtl/>
        </w:rPr>
        <w:t xml:space="preserve"> </w:t>
      </w:r>
      <w:r w:rsidR="00055F1A">
        <w:rPr>
          <w:rFonts w:hint="cs"/>
          <w:rtl/>
        </w:rPr>
        <w:t>וכך פוסקים גם הטור</w:t>
      </w:r>
      <w:bookmarkStart w:id="3" w:name="_Ref104928954"/>
      <w:r w:rsidR="00055F1A">
        <w:rPr>
          <w:rStyle w:val="ab"/>
          <w:rtl/>
        </w:rPr>
        <w:footnoteReference w:id="6"/>
      </w:r>
      <w:bookmarkEnd w:id="3"/>
      <w:r w:rsidR="008F604F">
        <w:rPr>
          <w:rFonts w:hint="cs"/>
          <w:rtl/>
        </w:rPr>
        <w:t xml:space="preserve"> </w:t>
      </w:r>
      <w:r w:rsidR="008F604F">
        <w:rPr>
          <w:rStyle w:val="ab"/>
          <w:rtl/>
        </w:rPr>
        <w:footnoteReference w:id="7"/>
      </w:r>
      <w:r w:rsidR="00055F1A">
        <w:rPr>
          <w:rFonts w:hint="cs"/>
          <w:rtl/>
        </w:rPr>
        <w:t xml:space="preserve"> והשו"ע</w:t>
      </w:r>
      <w:r w:rsidR="00055F1A">
        <w:rPr>
          <w:rStyle w:val="ab"/>
          <w:rtl/>
        </w:rPr>
        <w:footnoteReference w:id="8"/>
      </w:r>
      <w:r w:rsidR="00055F1A">
        <w:rPr>
          <w:rFonts w:hint="cs"/>
          <w:rtl/>
        </w:rPr>
        <w:t>.</w:t>
      </w:r>
    </w:p>
    <w:p w14:paraId="493D482E" w14:textId="01F2929C" w:rsidR="001F0F9D" w:rsidRPr="001F0F9D" w:rsidRDefault="001F0F9D" w:rsidP="001F0F9D">
      <w:pPr>
        <w:pStyle w:val="1"/>
        <w:rPr>
          <w:rtl/>
        </w:rPr>
      </w:pPr>
      <w:r w:rsidRPr="001F0F9D">
        <w:rPr>
          <w:rFonts w:hint="cs"/>
          <w:rtl/>
        </w:rPr>
        <w:t>"אין רוח חכמים נוחה הימנו"</w:t>
      </w:r>
    </w:p>
    <w:p w14:paraId="7E61208E" w14:textId="7422F7B8" w:rsidR="00DC5F45" w:rsidRDefault="00BB3710" w:rsidP="001C21CC">
      <w:pPr>
        <w:tabs>
          <w:tab w:val="left" w:pos="1991"/>
        </w:tabs>
        <w:rPr>
          <w:sz w:val="24"/>
          <w:rtl/>
        </w:rPr>
      </w:pPr>
      <w:r>
        <w:rPr>
          <w:rFonts w:hint="cs"/>
          <w:sz w:val="24"/>
          <w:rtl/>
        </w:rPr>
        <w:t>רש"י כאן כותב "</w:t>
      </w:r>
      <w:r w:rsidRPr="00573D09">
        <w:rPr>
          <w:sz w:val="24"/>
          <w:rtl/>
        </w:rPr>
        <w:t>אין רוח חכמה וחסידות בקרבו</w:t>
      </w:r>
      <w:r>
        <w:rPr>
          <w:rFonts w:hint="cs"/>
          <w:sz w:val="24"/>
          <w:rtl/>
        </w:rPr>
        <w:t>", בעוד במסכת בבא מציעא</w:t>
      </w:r>
      <w:r>
        <w:rPr>
          <w:rStyle w:val="ab"/>
          <w:sz w:val="24"/>
          <w:rtl/>
        </w:rPr>
        <w:footnoteReference w:id="9"/>
      </w:r>
      <w:r>
        <w:rPr>
          <w:rFonts w:hint="cs"/>
          <w:sz w:val="24"/>
          <w:rtl/>
        </w:rPr>
        <w:t xml:space="preserve"> הוא כותב "</w:t>
      </w:r>
      <w:r w:rsidRPr="00D146E4">
        <w:rPr>
          <w:sz w:val="24"/>
          <w:rtl/>
        </w:rPr>
        <w:t>אין נחת רוח לחכמי ישראל במעשיו של זה, אין דעתם נוחה עליהם, הימנו - על ידו</w:t>
      </w:r>
      <w:r>
        <w:rPr>
          <w:rFonts w:hint="cs"/>
          <w:sz w:val="24"/>
          <w:rtl/>
        </w:rPr>
        <w:t xml:space="preserve">". </w:t>
      </w:r>
      <w:r w:rsidR="00E022C6">
        <w:rPr>
          <w:rFonts w:hint="cs"/>
          <w:sz w:val="24"/>
          <w:rtl/>
        </w:rPr>
        <w:t xml:space="preserve">כמו כן, </w:t>
      </w:r>
      <w:r>
        <w:rPr>
          <w:rFonts w:hint="cs"/>
          <w:sz w:val="24"/>
          <w:rtl/>
        </w:rPr>
        <w:t>במסכת קידושין</w:t>
      </w:r>
      <w:r>
        <w:rPr>
          <w:rStyle w:val="ab"/>
          <w:sz w:val="24"/>
          <w:rtl/>
        </w:rPr>
        <w:footnoteReference w:id="10"/>
      </w:r>
      <w:r>
        <w:rPr>
          <w:rFonts w:hint="cs"/>
          <w:sz w:val="24"/>
          <w:rtl/>
        </w:rPr>
        <w:t xml:space="preserve"> הוא כותב "כלומר אין מחזיקין לו טובה".</w:t>
      </w:r>
      <w:r w:rsidR="001C21CC">
        <w:rPr>
          <w:rFonts w:hint="cs"/>
          <w:sz w:val="24"/>
          <w:rtl/>
        </w:rPr>
        <w:t xml:space="preserve"> </w:t>
      </w:r>
      <w:r w:rsidR="00DC5F45">
        <w:rPr>
          <w:rFonts w:hint="cs"/>
          <w:sz w:val="24"/>
          <w:rtl/>
        </w:rPr>
        <w:t>אצלנו הוא לא מדבר כלל על היחס של חכמי ישראל לגזלן, אלא רק על הגזלן עצמו.</w:t>
      </w:r>
    </w:p>
    <w:p w14:paraId="6D8661F8" w14:textId="57696187" w:rsidR="00DC5F45" w:rsidRDefault="00BB3710" w:rsidP="00DC5F45">
      <w:pPr>
        <w:tabs>
          <w:tab w:val="left" w:pos="1991"/>
        </w:tabs>
        <w:rPr>
          <w:sz w:val="24"/>
          <w:rtl/>
        </w:rPr>
      </w:pPr>
      <w:r>
        <w:rPr>
          <w:rFonts w:hint="cs"/>
          <w:sz w:val="24"/>
          <w:rtl/>
        </w:rPr>
        <w:t>יכול להיות ש</w:t>
      </w:r>
      <w:r w:rsidR="00DC5F45">
        <w:rPr>
          <w:rFonts w:hint="cs"/>
          <w:sz w:val="24"/>
          <w:rtl/>
        </w:rPr>
        <w:t>הוא</w:t>
      </w:r>
      <w:r>
        <w:rPr>
          <w:rFonts w:hint="cs"/>
          <w:sz w:val="24"/>
          <w:rtl/>
        </w:rPr>
        <w:t xml:space="preserve"> גורס בגמרא </w:t>
      </w:r>
      <w:r w:rsidR="00DC5F45">
        <w:rPr>
          <w:rFonts w:hint="cs"/>
          <w:sz w:val="24"/>
          <w:rtl/>
        </w:rPr>
        <w:t xml:space="preserve">כאן </w:t>
      </w:r>
      <w:r>
        <w:rPr>
          <w:rFonts w:hint="cs"/>
          <w:sz w:val="24"/>
          <w:rtl/>
        </w:rPr>
        <w:t xml:space="preserve">כמו שכתוב בכתב יד מינכן, "אין רוח </w:t>
      </w:r>
      <w:r>
        <w:rPr>
          <w:rFonts w:hint="cs"/>
          <w:sz w:val="24"/>
          <w:u w:val="single"/>
          <w:rtl/>
        </w:rPr>
        <w:t>חכמה</w:t>
      </w:r>
      <w:r>
        <w:rPr>
          <w:rFonts w:hint="cs"/>
          <w:sz w:val="24"/>
          <w:rtl/>
        </w:rPr>
        <w:t xml:space="preserve"> נוחה הימנו".</w:t>
      </w:r>
    </w:p>
    <w:p w14:paraId="2B4ABBBB" w14:textId="74F3B99B" w:rsidR="001C21CC" w:rsidRDefault="00BB3710" w:rsidP="001C21CC">
      <w:pPr>
        <w:tabs>
          <w:tab w:val="left" w:pos="1991"/>
        </w:tabs>
        <w:rPr>
          <w:rtl/>
        </w:rPr>
      </w:pPr>
      <w:r>
        <w:rPr>
          <w:rFonts w:hint="cs"/>
          <w:sz w:val="24"/>
          <w:rtl/>
        </w:rPr>
        <w:t xml:space="preserve">יותר מזה, </w:t>
      </w:r>
      <w:r w:rsidRPr="00DC5F45">
        <w:rPr>
          <w:rFonts w:hint="cs"/>
          <w:sz w:val="24"/>
          <w:rtl/>
        </w:rPr>
        <w:t>אפשר לומר שרש"י סובר ש"אין מקבלין מהם" היא מדת חסידות, כמו המאירי וריב"ש</w:t>
      </w:r>
      <w:r w:rsidRPr="00DC5F45">
        <w:rPr>
          <w:rFonts w:hint="cs"/>
          <w:rtl/>
        </w:rPr>
        <w:t>.</w:t>
      </w:r>
      <w:r w:rsidRPr="00AA41B4">
        <w:rPr>
          <w:rtl/>
        </w:rPr>
        <w:t xml:space="preserve"> </w:t>
      </w:r>
      <w:r w:rsidR="001C21CC">
        <w:rPr>
          <w:rFonts w:hint="cs"/>
          <w:rtl/>
        </w:rPr>
        <w:t xml:space="preserve"> </w:t>
      </w:r>
      <w:r w:rsidR="00DC5F45">
        <w:rPr>
          <w:rFonts w:hint="cs"/>
          <w:rtl/>
        </w:rPr>
        <w:t>מבחינת החשבון</w:t>
      </w:r>
      <w:r w:rsidR="001C21CC">
        <w:rPr>
          <w:rFonts w:hint="cs"/>
          <w:rtl/>
        </w:rPr>
        <w:t xml:space="preserve"> הפרטי</w:t>
      </w:r>
      <w:r w:rsidR="00DC5F45">
        <w:rPr>
          <w:rFonts w:hint="cs"/>
          <w:rtl/>
        </w:rPr>
        <w:t xml:space="preserve"> של ה</w:t>
      </w:r>
      <w:r w:rsidR="001C21CC">
        <w:rPr>
          <w:rFonts w:hint="cs"/>
          <w:rtl/>
        </w:rPr>
        <w:t>נגזל</w:t>
      </w:r>
      <w:r w:rsidR="00DC5F45">
        <w:rPr>
          <w:rFonts w:hint="cs"/>
          <w:rtl/>
        </w:rPr>
        <w:t xml:space="preserve"> הוא אכן חישב נכון, אבל אם הייתה רוח חכמה וחסידות בקרבו, היה מוותר על ההחזר.</w:t>
      </w:r>
    </w:p>
    <w:p w14:paraId="1427CC30" w14:textId="4829053A" w:rsidR="00DA5081" w:rsidRPr="008232F4" w:rsidRDefault="00444EFB" w:rsidP="00444EFB">
      <w:pPr>
        <w:pStyle w:val="1"/>
        <w:rPr>
          <w:b/>
          <w:bCs/>
          <w:rtl/>
        </w:rPr>
      </w:pPr>
      <w:r>
        <w:rPr>
          <w:rFonts w:hint="cs"/>
          <w:rtl/>
        </w:rPr>
        <w:t>ההגבלות לתקנה</w:t>
      </w:r>
    </w:p>
    <w:p w14:paraId="00B3EE5F" w14:textId="49DF9A07"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1"/>
      </w:r>
      <w:r w:rsidR="000205AF">
        <w:rPr>
          <w:rFonts w:hint="cs"/>
          <w:rtl/>
        </w:rPr>
        <w:t>. אם הגזילה קיימת הגזלן חייב להחזיר את הגזילה, והנגזל יכול לקבל אותה.</w:t>
      </w:r>
    </w:p>
    <w:p w14:paraId="136F81F9" w14:textId="64BB4E33" w:rsidR="00BA12FA" w:rsidRDefault="00BA12FA" w:rsidP="0083579B">
      <w:pPr>
        <w:tabs>
          <w:tab w:val="left" w:pos="6503"/>
        </w:tabs>
        <w:rPr>
          <w:rtl/>
        </w:rPr>
      </w:pPr>
      <w:r>
        <w:rPr>
          <w:rFonts w:hint="cs"/>
          <w:rtl/>
        </w:rPr>
        <w:t>בתוספות</w:t>
      </w:r>
      <w:r>
        <w:rPr>
          <w:rStyle w:val="ab"/>
          <w:rtl/>
        </w:rPr>
        <w:footnoteReference w:id="12"/>
      </w:r>
      <w:r>
        <w:rPr>
          <w:rFonts w:hint="cs"/>
          <w:rtl/>
        </w:rPr>
        <w:t xml:space="preserve"> מובאות שלוש נקודות:</w:t>
      </w:r>
    </w:p>
    <w:p w14:paraId="5BF0664C" w14:textId="5E6CC3DF"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r w:rsidR="003B3096">
        <w:rPr>
          <w:rStyle w:val="ab"/>
          <w:rtl/>
        </w:rPr>
        <w:footnoteReference w:id="13"/>
      </w:r>
      <w:r>
        <w:rPr>
          <w:rFonts w:hint="cs"/>
          <w:rtl/>
        </w:rPr>
        <w:t>.</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74AB7158" w14:textId="77E6246F" w:rsidR="008F604F" w:rsidRDefault="00382412" w:rsidP="008F604F">
      <w:pPr>
        <w:tabs>
          <w:tab w:val="left" w:pos="6503"/>
        </w:tabs>
        <w:rPr>
          <w:rtl/>
        </w:rPr>
      </w:pPr>
      <w:r>
        <w:rPr>
          <w:rFonts w:hint="cs"/>
          <w:rtl/>
        </w:rPr>
        <w:t>הרשב"א מקשה על ר"י ואומר שצריך דווקא לקנוס את מי שעיסוקו בכך, ומביא דוגמה מהמשך הגמרא</w:t>
      </w:r>
      <w:r>
        <w:rPr>
          <w:rStyle w:val="ab"/>
          <w:rtl/>
        </w:rPr>
        <w:footnoteReference w:id="14"/>
      </w:r>
      <w:r>
        <w:rPr>
          <w:rFonts w:hint="cs"/>
          <w:rtl/>
        </w:rPr>
        <w:t>.</w:t>
      </w:r>
    </w:p>
    <w:p w14:paraId="5310AD9C" w14:textId="2B3E5883" w:rsidR="00A056F3" w:rsidRDefault="00A056F3" w:rsidP="00A056F3">
      <w:pPr>
        <w:tabs>
          <w:tab w:val="left" w:pos="6503"/>
        </w:tabs>
      </w:pPr>
      <w:r>
        <w:rPr>
          <w:rFonts w:hint="cs"/>
          <w:rtl/>
        </w:rPr>
        <w:t>הרמ"ה ורבינו יהונתן מלוניל</w:t>
      </w:r>
      <w:r>
        <w:rPr>
          <w:rStyle w:val="ab"/>
          <w:rtl/>
        </w:rPr>
        <w:footnoteReference w:id="15"/>
      </w:r>
      <w:r>
        <w:rPr>
          <w:rFonts w:hint="cs"/>
          <w:rtl/>
        </w:rPr>
        <w:t xml:space="preserve"> סוברים שהתקנה עוסקת רק במי שבא מאליו להחזיר ולא במי שנתבע בבית הדין, כי הרי יש מקרים רבים שבהם</w:t>
      </w:r>
      <w:r>
        <w:rPr>
          <w:rFonts w:hint="cs"/>
          <w:rtl/>
        </w:rPr>
        <w:t xml:space="preserve"> בית דין</w:t>
      </w:r>
      <w:r>
        <w:rPr>
          <w:rFonts w:hint="cs"/>
          <w:rtl/>
        </w:rPr>
        <w:t xml:space="preserve"> מוציאים את דמי הגזילה מהגזלן.</w:t>
      </w:r>
    </w:p>
    <w:p w14:paraId="239D66B7" w14:textId="05B8B514" w:rsidR="00D01750" w:rsidRDefault="00D01750" w:rsidP="00382412">
      <w:pPr>
        <w:tabs>
          <w:tab w:val="left" w:pos="6503"/>
        </w:tabs>
        <w:rPr>
          <w:rtl/>
        </w:rPr>
      </w:pPr>
      <w:r>
        <w:rPr>
          <w:rFonts w:hint="cs"/>
          <w:sz w:val="24"/>
          <w:rtl/>
        </w:rPr>
        <w:t>הרא"ש</w:t>
      </w:r>
      <w:r>
        <w:rPr>
          <w:rStyle w:val="ab"/>
          <w:sz w:val="24"/>
          <w:rtl/>
        </w:rPr>
        <w:footnoteReference w:id="16"/>
      </w:r>
      <w:r>
        <w:rPr>
          <w:rFonts w:hint="cs"/>
          <w:sz w:val="24"/>
          <w:rtl/>
        </w:rPr>
        <w:t xml:space="preserve"> </w:t>
      </w:r>
      <w:r w:rsidR="00BE3CE9">
        <w:rPr>
          <w:rFonts w:hint="cs"/>
          <w:sz w:val="24"/>
          <w:rtl/>
        </w:rPr>
        <w:t xml:space="preserve">סובר </w:t>
      </w:r>
      <w:r w:rsidRPr="00CB2CB9">
        <w:rPr>
          <w:sz w:val="24"/>
          <w:rtl/>
        </w:rPr>
        <w:t xml:space="preserve">שהתקנה חלה רק בצירוף שתי </w:t>
      </w:r>
      <w:r w:rsidR="0059731E">
        <w:rPr>
          <w:rFonts w:hint="cs"/>
          <w:sz w:val="24"/>
          <w:rtl/>
        </w:rPr>
        <w:t>ה</w:t>
      </w:r>
      <w:r w:rsidRPr="00CB2CB9">
        <w:rPr>
          <w:sz w:val="24"/>
          <w:rtl/>
        </w:rPr>
        <w:t>שיטות</w:t>
      </w:r>
      <w:r w:rsidR="00A056F3">
        <w:rPr>
          <w:rFonts w:hint="cs"/>
          <w:sz w:val="24"/>
          <w:rtl/>
        </w:rPr>
        <w:t>:</w:t>
      </w:r>
      <w:r w:rsidR="00661C3C">
        <w:rPr>
          <w:rFonts w:hint="cs"/>
          <w:sz w:val="24"/>
          <w:rtl/>
        </w:rPr>
        <w:t xml:space="preserve"> </w:t>
      </w:r>
      <w:r w:rsidRPr="00CB2CB9">
        <w:rPr>
          <w:sz w:val="24"/>
          <w:rtl/>
        </w:rPr>
        <w:t>למי שבא מאליו לעשות תשובה, ורוב עיסוקו בגזל</w:t>
      </w:r>
      <w:r w:rsidR="00BE3CE9">
        <w:rPr>
          <w:rStyle w:val="ab"/>
          <w:sz w:val="24"/>
          <w:rtl/>
        </w:rPr>
        <w:footnoteReference w:id="17"/>
      </w:r>
      <w:r w:rsidRPr="00CB2CB9">
        <w:rPr>
          <w:rFonts w:hint="cs"/>
          <w:sz w:val="24"/>
          <w:rtl/>
        </w:rPr>
        <w:t xml:space="preserve">. </w:t>
      </w:r>
      <w:r w:rsidRPr="00CB2CB9">
        <w:rPr>
          <w:sz w:val="24"/>
          <w:rtl/>
        </w:rPr>
        <w:t>וכדעה זו פסק השולחן ערוך</w:t>
      </w:r>
      <w:r w:rsidR="00382412">
        <w:rPr>
          <w:sz w:val="24"/>
        </w:rPr>
        <w:fldChar w:fldCharType="begin"/>
      </w:r>
      <w:r w:rsidR="00382412">
        <w:rPr>
          <w:rtl/>
        </w:rPr>
        <w:instrText xml:space="preserve"> </w:instrText>
      </w:r>
      <w:r w:rsidR="00382412">
        <w:rPr>
          <w:rFonts w:hint="cs"/>
        </w:rPr>
        <w:instrText>NOTEREF</w:instrText>
      </w:r>
      <w:r w:rsidR="00382412">
        <w:rPr>
          <w:rFonts w:hint="cs"/>
          <w:rtl/>
        </w:rPr>
        <w:instrText xml:space="preserve"> _</w:instrText>
      </w:r>
      <w:r w:rsidR="00382412">
        <w:rPr>
          <w:rFonts w:hint="cs"/>
        </w:rPr>
        <w:instrText>Ref104928954 \f \h</w:instrText>
      </w:r>
      <w:r w:rsidR="00382412">
        <w:rPr>
          <w:rtl/>
        </w:rPr>
        <w:instrText xml:space="preserve"> </w:instrText>
      </w:r>
      <w:r w:rsidR="00382412">
        <w:rPr>
          <w:sz w:val="24"/>
        </w:rPr>
      </w:r>
      <w:r w:rsidR="00382412">
        <w:rPr>
          <w:sz w:val="24"/>
        </w:rPr>
        <w:fldChar w:fldCharType="separate"/>
      </w:r>
      <w:r w:rsidR="00382412" w:rsidRPr="00382412">
        <w:rPr>
          <w:rStyle w:val="ab"/>
          <w:rtl/>
        </w:rPr>
        <w:t>6</w:t>
      </w:r>
      <w:r w:rsidR="00382412">
        <w:rPr>
          <w:sz w:val="24"/>
        </w:rPr>
        <w:fldChar w:fldCharType="end"/>
      </w:r>
      <w:r w:rsidR="00661C3C">
        <w:rPr>
          <w:rFonts w:hint="cs"/>
          <w:rtl/>
        </w:rPr>
        <w:t>.</w:t>
      </w:r>
    </w:p>
    <w:p w14:paraId="5570E234" w14:textId="68148327"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המשך התוספות, וסבר שהתקנה עוסקת רק במי שעשה תשובה. לכן הגזלן המקצועי בדף צ"ו נקנס, כי הוא לא עשה תשובה אלא נתבע ע"י ב"ד.</w:t>
      </w:r>
    </w:p>
    <w:p w14:paraId="75F858BD" w14:textId="1816AC3B" w:rsidR="00382412" w:rsidRDefault="00382412" w:rsidP="00A848A8">
      <w:pPr>
        <w:tabs>
          <w:tab w:val="left" w:pos="6503"/>
        </w:tabs>
        <w:rPr>
          <w:rtl/>
        </w:rPr>
      </w:pPr>
      <w:r>
        <w:rPr>
          <w:rFonts w:hint="cs"/>
          <w:rtl/>
        </w:rPr>
        <w:lastRenderedPageBreak/>
        <w:t>הש"ך</w:t>
      </w:r>
      <w:r>
        <w:rPr>
          <w:rStyle w:val="ab"/>
          <w:rtl/>
        </w:rPr>
        <w:footnoteReference w:id="18"/>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693DCEE8" w14:textId="2CDB2BE9" w:rsidR="0027615D" w:rsidRPr="00A056F3" w:rsidRDefault="0027615D" w:rsidP="00A056F3">
      <w:pPr>
        <w:rPr>
          <w:sz w:val="24"/>
          <w:rtl/>
        </w:rPr>
      </w:pPr>
      <w:r w:rsidRPr="00CB2CB9">
        <w:rPr>
          <w:rFonts w:hint="cs"/>
          <w:sz w:val="24"/>
          <w:rtl/>
        </w:rPr>
        <w:t>המהרש"ל</w:t>
      </w:r>
      <w:r>
        <w:rPr>
          <w:rStyle w:val="ab"/>
          <w:sz w:val="24"/>
          <w:rtl/>
        </w:rPr>
        <w:footnoteReference w:id="19"/>
      </w:r>
      <w:r w:rsidRPr="00CB2CB9">
        <w:rPr>
          <w:rFonts w:hint="cs"/>
          <w:sz w:val="24"/>
          <w:rtl/>
        </w:rPr>
        <w:t xml:space="preserve"> אומר שהגזלן צריך לבכות ולהתחנן בפני הנגזל שיקבל ממנו כדי שיוכל לקבל</w:t>
      </w:r>
      <w:r w:rsidR="00BE3CE9">
        <w:rPr>
          <w:rFonts w:hint="cs"/>
          <w:sz w:val="24"/>
          <w:rtl/>
        </w:rPr>
        <w:t>,</w:t>
      </w:r>
      <w:r>
        <w:rPr>
          <w:rFonts w:hint="cs"/>
          <w:sz w:val="24"/>
          <w:rtl/>
        </w:rPr>
        <w:t xml:space="preserve"> ורק כך הגזלן יכול לצאת ידי שמיים</w:t>
      </w:r>
      <w:r w:rsidR="00BE3CE9">
        <w:rPr>
          <w:rFonts w:hint="cs"/>
          <w:sz w:val="24"/>
          <w:rtl/>
        </w:rPr>
        <w:t>.</w:t>
      </w:r>
    </w:p>
    <w:p w14:paraId="5972559E" w14:textId="77777777" w:rsidR="002440AA" w:rsidRDefault="002440AA" w:rsidP="002440AA">
      <w:pPr>
        <w:pStyle w:val="1"/>
        <w:rPr>
          <w:rtl/>
        </w:rPr>
      </w:pPr>
      <w:r>
        <w:rPr>
          <w:rFonts w:hint="cs"/>
          <w:rtl/>
        </w:rPr>
        <w:t>חזרה בתשובה</w:t>
      </w:r>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0"/>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t>צריך לשאול, האם הרמב"ם סובר שתקנת חכמים מונעת מהגזלן לחזור בתשובה? הרי כל מהות התקנה היא בשביל לעזור להם לשוב בתשובה.</w:t>
      </w:r>
    </w:p>
    <w:p w14:paraId="71D3BEDD" w14:textId="2C46BBE0" w:rsidR="002440AA" w:rsidRDefault="00205E2A" w:rsidP="00A460C0">
      <w:pPr>
        <w:rPr>
          <w:rtl/>
        </w:rPr>
      </w:pPr>
      <w:r>
        <w:rPr>
          <w:rFonts w:hint="cs"/>
          <w:rtl/>
        </w:rPr>
        <w:t>הריב"ש</w:t>
      </w:r>
      <w:r w:rsidR="00A460C0">
        <w:rPr>
          <w:rtl/>
        </w:rPr>
        <w:fldChar w:fldCharType="begin"/>
      </w:r>
      <w:r w:rsidR="00A460C0">
        <w:rPr>
          <w:rtl/>
        </w:rPr>
        <w:instrText xml:space="preserve"> </w:instrText>
      </w:r>
      <w:r w:rsidR="00A460C0">
        <w:rPr>
          <w:rFonts w:hint="cs"/>
        </w:rPr>
        <w:instrText>NOTEREF</w:instrText>
      </w:r>
      <w:r w:rsidR="00A460C0">
        <w:rPr>
          <w:rFonts w:hint="cs"/>
          <w:rtl/>
        </w:rPr>
        <w:instrText xml:space="preserve"> _</w:instrText>
      </w:r>
      <w:r w:rsidR="00A460C0">
        <w:rPr>
          <w:rFonts w:hint="cs"/>
        </w:rPr>
        <w:instrText>Ref104927447 \f \h</w:instrText>
      </w:r>
      <w:r w:rsidR="00A460C0">
        <w:rPr>
          <w:rtl/>
        </w:rPr>
        <w:instrText xml:space="preserve"> </w:instrText>
      </w:r>
      <w:r w:rsidR="00A460C0">
        <w:rPr>
          <w:rtl/>
        </w:rPr>
      </w:r>
      <w:r w:rsidR="00A460C0">
        <w:rPr>
          <w:rtl/>
        </w:rPr>
        <w:fldChar w:fldCharType="separate"/>
      </w:r>
      <w:r w:rsidR="00A460C0" w:rsidRPr="00A460C0">
        <w:rPr>
          <w:rStyle w:val="ab"/>
          <w:rtl/>
        </w:rPr>
        <w:t>5</w:t>
      </w:r>
      <w:r w:rsidR="00A460C0">
        <w:rPr>
          <w:rtl/>
        </w:rPr>
        <w:fldChar w:fldCharType="end"/>
      </w:r>
      <w:r>
        <w:rPr>
          <w:rFonts w:hint="cs"/>
          <w:rtl/>
        </w:rPr>
        <w:t xml:space="preserve"> גם נשאל שאלה זו. בתשובתו הוא אמר שזו רק מידת חסידות שלא לקבל מהם, ואם הם רוצים לצאת ידי שמיים הם צריכים באמת להחזיר. חוץ מזה, הוא הביא </w:t>
      </w:r>
      <w:r w:rsidR="002440AA">
        <w:rPr>
          <w:rFonts w:hint="cs"/>
          <w:rtl/>
        </w:rPr>
        <w:t>את כל ההגבלות שכתבנו לעיל (כשהחפץ לא קיים, כשהגזלן מחזיר מעצמו, כשהגזלן מתפרנס מזה, שזה רק לדורו של רבי)</w:t>
      </w:r>
      <w:r>
        <w:rPr>
          <w:rFonts w:hint="cs"/>
          <w:rtl/>
        </w:rPr>
        <w:t>.</w:t>
      </w:r>
    </w:p>
    <w:p w14:paraId="078DAA6C" w14:textId="2751482E" w:rsidR="00205E2A" w:rsidRDefault="00205E2A" w:rsidP="002440AA">
      <w:pPr>
        <w:rPr>
          <w:rtl/>
        </w:rPr>
      </w:pPr>
      <w:r>
        <w:rPr>
          <w:rFonts w:hint="cs"/>
          <w:rtl/>
        </w:rPr>
        <w:t>אך כעת נותרנו עם השאלה על מי</w:t>
      </w:r>
      <w:r w:rsidR="00A059B5">
        <w:rPr>
          <w:rFonts w:hint="cs"/>
          <w:rtl/>
        </w:rPr>
        <w:t xml:space="preserve"> </w:t>
      </w:r>
      <w:r w:rsidR="008B77B1">
        <w:rPr>
          <w:rFonts w:hint="cs"/>
          <w:rtl/>
        </w:rPr>
        <w:t>שסובר</w:t>
      </w:r>
      <w:r w:rsidR="00A059B5">
        <w:rPr>
          <w:rFonts w:hint="cs"/>
          <w:rtl/>
        </w:rPr>
        <w:t xml:space="preserve"> כהבנה </w:t>
      </w:r>
      <w:r w:rsidR="008118F8">
        <w:rPr>
          <w:rFonts w:hint="cs"/>
          <w:rtl/>
        </w:rPr>
        <w:t>הראשונה</w:t>
      </w:r>
      <w:r w:rsidR="00A059B5">
        <w:rPr>
          <w:rFonts w:hint="cs"/>
          <w:rtl/>
        </w:rPr>
        <w:t xml:space="preserve"> של התקנה, שבשביל לצאת ידי שמיים צריך רק להביע רצון להחזיר ולא להחזיר ממש, ושהנגזל לא </w:t>
      </w:r>
      <w:r w:rsidR="0018184A">
        <w:rPr>
          <w:rFonts w:hint="cs"/>
          <w:rtl/>
        </w:rPr>
        <w:t>מורשה לקבל את הכסף.</w:t>
      </w:r>
    </w:p>
    <w:p w14:paraId="2F42941E" w14:textId="49B76E90" w:rsidR="002440AA" w:rsidRDefault="002440AA" w:rsidP="002440AA">
      <w:pPr>
        <w:rPr>
          <w:rtl/>
        </w:rPr>
      </w:pPr>
      <w:r>
        <w:rPr>
          <w:rFonts w:hint="cs"/>
          <w:rtl/>
        </w:rPr>
        <w:t>הרב סבתו</w:t>
      </w:r>
      <w:r>
        <w:rPr>
          <w:rStyle w:val="ab"/>
          <w:rtl/>
        </w:rPr>
        <w:footnoteReference w:id="21"/>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t>הגמרא אומרת שאביהם נקרא רשע (הוא לא "עושה מעשה עמך"), ולכן לכאורה ילדיו לא חייבים בכבודו, ומתרצת שהוא עשה תשובה אך לא הספיק להחזיר את הגזילה.</w:t>
      </w:r>
    </w:p>
    <w:p w14:paraId="7C69CECF" w14:textId="77777777" w:rsidR="002440AA" w:rsidRDefault="002440AA" w:rsidP="002440AA">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5D014DBA" w:rsidR="002440AA" w:rsidRDefault="002440AA" w:rsidP="002440AA">
      <w:pPr>
        <w:tabs>
          <w:tab w:val="left" w:pos="6503"/>
        </w:tabs>
        <w:rPr>
          <w:rtl/>
        </w:rPr>
      </w:pPr>
      <w:r>
        <w:rPr>
          <w:rFonts w:hint="cs"/>
          <w:rtl/>
        </w:rPr>
        <w:t>הגרי"ד</w:t>
      </w:r>
      <w:r w:rsidR="00FD1BE7">
        <w:rPr>
          <w:rFonts w:hint="cs"/>
          <w:rtl/>
        </w:rPr>
        <w:t xml:space="preserve"> סולוביצ'יק</w:t>
      </w:r>
      <w:r>
        <w:rPr>
          <w:rStyle w:val="ab"/>
          <w:rtl/>
        </w:rPr>
        <w:footnoteReference w:id="22"/>
      </w:r>
      <w:r>
        <w:rPr>
          <w:rFonts w:hint="cs"/>
          <w:rtl/>
        </w:rPr>
        <w:t xml:space="preserve"> מציע חילוק בין שני סוגי תשובה:</w:t>
      </w:r>
    </w:p>
    <w:p w14:paraId="0073F695" w14:textId="77777777" w:rsidR="002440AA" w:rsidRDefault="002440AA" w:rsidP="002440AA">
      <w:pPr>
        <w:pStyle w:val="af4"/>
        <w:numPr>
          <w:ilvl w:val="0"/>
          <w:numId w:val="3"/>
        </w:numPr>
        <w:tabs>
          <w:tab w:val="left" w:pos="6503"/>
        </w:tabs>
      </w:pPr>
      <w:r>
        <w:rPr>
          <w:rFonts w:hint="cs"/>
          <w:rtl/>
        </w:rPr>
        <w:t>תשובה מכפרת ומצילה את החוטא מעונשי שמיים</w:t>
      </w:r>
    </w:p>
    <w:p w14:paraId="7BC756D8" w14:textId="77777777" w:rsidR="002440AA" w:rsidRPr="00AA3427" w:rsidRDefault="002440AA" w:rsidP="002440AA">
      <w:pPr>
        <w:pStyle w:val="af4"/>
        <w:numPr>
          <w:ilvl w:val="0"/>
          <w:numId w:val="3"/>
        </w:numPr>
        <w:tabs>
          <w:tab w:val="left" w:pos="6503"/>
        </w:tabs>
        <w:rPr>
          <w:rtl/>
        </w:rPr>
      </w:pPr>
      <w:r>
        <w:rPr>
          <w:rFonts w:hint="cs"/>
          <w:rtl/>
        </w:rPr>
        <w:t>תשובה שרק מפקיעה את השם של רשע מהחוטא.</w:t>
      </w:r>
    </w:p>
    <w:p w14:paraId="4D997AEC" w14:textId="6C966ABD"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FA8EFCA" w14:textId="05317562" w:rsidR="00924900" w:rsidRDefault="00A848A8" w:rsidP="00A848A8">
      <w:pPr>
        <w:pStyle w:val="1"/>
        <w:rPr>
          <w:rtl/>
        </w:rPr>
      </w:pPr>
      <w:r>
        <w:rPr>
          <w:rFonts w:hint="cs"/>
          <w:rtl/>
        </w:rPr>
        <w:t>שיטת הרמב"ם</w:t>
      </w:r>
    </w:p>
    <w:p w14:paraId="2B5C0B7D" w14:textId="1699EAE8" w:rsidR="00A848A8" w:rsidRDefault="00EA397A" w:rsidP="008118F8">
      <w:pPr>
        <w:rPr>
          <w:rtl/>
        </w:rPr>
      </w:pPr>
      <w:r>
        <w:rPr>
          <w:rFonts w:hint="cs"/>
          <w:rtl/>
        </w:rPr>
        <w:t>כפי שכתבנו לעיל, הרמב"ם</w:t>
      </w:r>
      <w:r w:rsidR="008118F8">
        <w:rPr>
          <w:rtl/>
        </w:rPr>
        <w:fldChar w:fldCharType="begin"/>
      </w:r>
      <w:r w:rsidR="008118F8">
        <w:rPr>
          <w:rtl/>
        </w:rPr>
        <w:instrText xml:space="preserve"> </w:instrText>
      </w:r>
      <w:r w:rsidR="008118F8">
        <w:rPr>
          <w:rFonts w:hint="cs"/>
        </w:rPr>
        <w:instrText>NOTEREF</w:instrText>
      </w:r>
      <w:r w:rsidR="008118F8">
        <w:rPr>
          <w:rFonts w:hint="cs"/>
          <w:rtl/>
        </w:rPr>
        <w:instrText xml:space="preserve"> _</w:instrText>
      </w:r>
      <w:r w:rsidR="008118F8">
        <w:rPr>
          <w:rFonts w:hint="cs"/>
        </w:rPr>
        <w:instrText>Ref104929980 \f \h</w:instrText>
      </w:r>
      <w:r w:rsidR="008118F8">
        <w:rPr>
          <w:rtl/>
        </w:rPr>
        <w:instrText xml:space="preserve"> </w:instrText>
      </w:r>
      <w:r w:rsidR="008118F8">
        <w:rPr>
          <w:rtl/>
        </w:rPr>
      </w:r>
      <w:r w:rsidR="008118F8">
        <w:rPr>
          <w:rtl/>
        </w:rPr>
        <w:fldChar w:fldCharType="separate"/>
      </w:r>
      <w:r w:rsidR="008118F8" w:rsidRPr="008118F8">
        <w:rPr>
          <w:rStyle w:val="ab"/>
          <w:rtl/>
        </w:rPr>
        <w:t>2</w:t>
      </w:r>
      <w:r w:rsidR="008118F8">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t xml:space="preserve">אם לא היתה הגזלה קיימת </w:t>
      </w:r>
      <w:r w:rsidRPr="00E3774D">
        <w:rPr>
          <w:sz w:val="24"/>
          <w:u w:val="single"/>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4897E09B" w14:textId="1E4A9D1F" w:rsidR="004F368D" w:rsidRDefault="004F368D" w:rsidP="00752686">
      <w:pPr>
        <w:rPr>
          <w:rtl/>
        </w:rPr>
      </w:pPr>
      <w:r w:rsidRPr="00EA397A">
        <w:rPr>
          <w:rFonts w:hint="cs"/>
          <w:rtl/>
        </w:rPr>
        <w:lastRenderedPageBreak/>
        <w:t>משמע שהרמב"ם לא קיבל את דעת ר"ת שהתקנה הייתה רק לדורו של רבי</w:t>
      </w:r>
      <w:r w:rsidR="00EA397A">
        <w:rPr>
          <w:rFonts w:hint="cs"/>
          <w:rtl/>
        </w:rPr>
        <w:t xml:space="preserve"> (כי הוא פסק את זה להלכה)</w:t>
      </w:r>
      <w:r w:rsidRPr="00EA397A">
        <w:rPr>
          <w:rFonts w:hint="cs"/>
          <w:rtl/>
        </w:rPr>
        <w:t xml:space="preserve">, </w:t>
      </w:r>
      <w:r w:rsidR="00EA397A">
        <w:rPr>
          <w:rFonts w:hint="cs"/>
          <w:rtl/>
        </w:rPr>
        <w:t>וגם לא את דעת ר"י</w:t>
      </w:r>
      <w:r w:rsidR="00417676">
        <w:rPr>
          <w:rFonts w:hint="cs"/>
          <w:rtl/>
        </w:rPr>
        <w:t xml:space="preserve"> (כי אם היה סובר שמדובר רק בגזלנים מקצועיים היה צריך לכתוב את זה)</w:t>
      </w:r>
      <w:r w:rsidR="00EA397A">
        <w:rPr>
          <w:rFonts w:hint="cs"/>
          <w:rtl/>
        </w:rPr>
        <w:t>,</w:t>
      </w:r>
      <w:r w:rsidR="00417676">
        <w:rPr>
          <w:rFonts w:hint="cs"/>
          <w:rtl/>
        </w:rPr>
        <w:t xml:space="preserve"> וגם חולק על התוספות כי הוא כותב שזה במקרה שהגזלן רצה לעשות תשובה.</w:t>
      </w:r>
    </w:p>
    <w:p w14:paraId="51F1C0E2" w14:textId="2F94E73A" w:rsidR="00752686" w:rsidRDefault="00752686" w:rsidP="00752686">
      <w:pPr>
        <w:rPr>
          <w:rtl/>
        </w:rPr>
      </w:pPr>
      <w:r>
        <w:rPr>
          <w:rFonts w:hint="cs"/>
          <w:rtl/>
        </w:rPr>
        <w:t>כעת צריך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391F1144" w:rsidR="00517B33" w:rsidRDefault="00752686" w:rsidP="00A056F3">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p>
    <w:sectPr w:rsidR="00517B33" w:rsidSect="00446D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D883" w14:textId="77777777" w:rsidR="00DE09A0" w:rsidRDefault="00DE09A0" w:rsidP="00CD34AC">
      <w:pPr>
        <w:spacing w:after="0"/>
      </w:pPr>
      <w:r>
        <w:separator/>
      </w:r>
    </w:p>
  </w:endnote>
  <w:endnote w:type="continuationSeparator" w:id="0">
    <w:p w14:paraId="651CF0E1" w14:textId="77777777" w:rsidR="00DE09A0" w:rsidRDefault="00DE09A0"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charset w:val="B1"/>
    <w:family w:val="auto"/>
    <w:pitch w:val="variable"/>
    <w:sig w:usb0="00000807" w:usb1="40000000" w:usb2="00000000" w:usb3="00000000" w:csb0="000000B3" w:csb1="00000000"/>
  </w:font>
  <w:font w:name="Keren">
    <w:altName w:val="Arial"/>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0DAC5"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F980"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A0E1"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72DC" w14:textId="77777777" w:rsidR="00DE09A0" w:rsidRDefault="00DE09A0" w:rsidP="00CD34AC">
      <w:pPr>
        <w:spacing w:after="0"/>
      </w:pPr>
      <w:r>
        <w:separator/>
      </w:r>
    </w:p>
  </w:footnote>
  <w:footnote w:type="continuationSeparator" w:id="0">
    <w:p w14:paraId="7457C017" w14:textId="77777777" w:rsidR="00DE09A0" w:rsidRDefault="00DE09A0" w:rsidP="00CD34AC">
      <w:pPr>
        <w:spacing w:after="0"/>
      </w:pPr>
      <w:r>
        <w:continuationSeparator/>
      </w:r>
    </w:p>
  </w:footnote>
  <w:footnote w:id="1">
    <w:p w14:paraId="393E6836" w14:textId="2089A22A" w:rsidR="002E4168" w:rsidRDefault="002E4168">
      <w:pPr>
        <w:pStyle w:val="a5"/>
      </w:pPr>
      <w:r>
        <w:rPr>
          <w:rStyle w:val="ab"/>
        </w:rPr>
        <w:footnoteRef/>
      </w:r>
      <w:r>
        <w:rPr>
          <w:rtl/>
        </w:rPr>
        <w:t xml:space="preserve"> </w:t>
      </w:r>
      <w:r>
        <w:rPr>
          <w:rFonts w:hint="cs"/>
          <w:rtl/>
        </w:rPr>
        <w:t>ראה שיטה מקובצת כאן "וכן כתב הרמ"ה ז"ל"</w:t>
      </w:r>
    </w:p>
  </w:footnote>
  <w:footnote w:id="2">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3">
    <w:p w14:paraId="0845031A" w14:textId="77777777" w:rsidR="006C5113" w:rsidRPr="003C4699" w:rsidRDefault="006C5113" w:rsidP="006C5113">
      <w:pPr>
        <w:pStyle w:val="af2"/>
        <w:rPr>
          <w:rtl/>
        </w:rPr>
      </w:pPr>
      <w:r>
        <w:rPr>
          <w:rStyle w:val="ab"/>
        </w:rPr>
        <w:footnoteRef/>
      </w:r>
      <w:r>
        <w:rPr>
          <w:rtl/>
        </w:rPr>
        <w:t xml:space="preserve"> </w:t>
      </w:r>
      <w:r w:rsidRPr="00CB2CB9">
        <w:rPr>
          <w:rtl/>
        </w:rPr>
        <w:t>בית הבחירה (מאירי) מסכת בבא קמא דף צד עמוד ב</w:t>
      </w:r>
    </w:p>
  </w:footnote>
  <w:footnote w:id="4">
    <w:p w14:paraId="6024FDBD" w14:textId="45801F3E" w:rsidR="00E36EA2" w:rsidRDefault="00E36EA2" w:rsidP="00032255">
      <w:pPr>
        <w:pStyle w:val="a5"/>
      </w:pPr>
      <w:r>
        <w:rPr>
          <w:rStyle w:val="ab"/>
        </w:rPr>
        <w:footnoteRef/>
      </w:r>
      <w:r>
        <w:rPr>
          <w:rtl/>
        </w:rPr>
        <w:t xml:space="preserve"> </w:t>
      </w:r>
      <w:r>
        <w:rPr>
          <w:rFonts w:hint="cs"/>
          <w:rtl/>
        </w:rPr>
        <w:t>ד"ה הא אביהם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5">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6">
    <w:p w14:paraId="1CB5FF37" w14:textId="6E4DEABB" w:rsidR="00055F1A" w:rsidRDefault="00055F1A">
      <w:pPr>
        <w:pStyle w:val="a5"/>
        <w:rPr>
          <w:rtl/>
        </w:rPr>
      </w:pPr>
      <w:r>
        <w:rPr>
          <w:rStyle w:val="ab"/>
        </w:rPr>
        <w:footnoteRef/>
      </w:r>
      <w:r>
        <w:rPr>
          <w:rtl/>
        </w:rPr>
        <w:t xml:space="preserve"> </w:t>
      </w:r>
      <w:r>
        <w:rPr>
          <w:rFonts w:hint="cs"/>
          <w:rtl/>
        </w:rPr>
        <w:t>חושן משפט שסו</w:t>
      </w:r>
      <w:r w:rsidR="008F604F">
        <w:rPr>
          <w:rFonts w:hint="cs"/>
          <w:rtl/>
        </w:rPr>
        <w:t>, א</w:t>
      </w:r>
      <w:r w:rsidR="00953B19">
        <w:rPr>
          <w:rFonts w:hint="cs"/>
          <w:rtl/>
        </w:rPr>
        <w:t xml:space="preserve"> </w:t>
      </w:r>
    </w:p>
  </w:footnote>
  <w:footnote w:id="7">
    <w:p w14:paraId="458F0504" w14:textId="0CAA245A" w:rsidR="008F604F" w:rsidRDefault="008F604F">
      <w:pPr>
        <w:pStyle w:val="a5"/>
        <w:rPr>
          <w:rFonts w:hint="cs"/>
        </w:rPr>
      </w:pPr>
      <w:r>
        <w:rPr>
          <w:rStyle w:val="ab"/>
        </w:rPr>
        <w:footnoteRef/>
      </w:r>
      <w:r>
        <w:rPr>
          <w:rtl/>
        </w:rPr>
        <w:t xml:space="preserve"> </w:t>
      </w:r>
      <w:r>
        <w:rPr>
          <w:rFonts w:hint="cs"/>
          <w:rtl/>
        </w:rPr>
        <w:t>ראה משנה למלך הל' מלוה ולוה ד, ד "וכתב הטור ח"מ סי' שס"ז.."</w:t>
      </w:r>
    </w:p>
  </w:footnote>
  <w:footnote w:id="8">
    <w:p w14:paraId="160F6CAC" w14:textId="28BE40C8" w:rsidR="00055F1A" w:rsidRDefault="00055F1A">
      <w:pPr>
        <w:pStyle w:val="a5"/>
        <w:rPr>
          <w:rtl/>
        </w:rPr>
      </w:pPr>
      <w:r>
        <w:rPr>
          <w:rStyle w:val="ab"/>
        </w:rPr>
        <w:footnoteRef/>
      </w:r>
      <w:r>
        <w:rPr>
          <w:rtl/>
        </w:rPr>
        <w:t xml:space="preserve"> </w:t>
      </w:r>
      <w:r>
        <w:rPr>
          <w:rFonts w:hint="cs"/>
          <w:rtl/>
        </w:rPr>
        <w:t>שם</w:t>
      </w:r>
    </w:p>
  </w:footnote>
  <w:footnote w:id="9">
    <w:p w14:paraId="79AD2D0E" w14:textId="487F6280" w:rsidR="00BB3710" w:rsidRDefault="00BB3710">
      <w:pPr>
        <w:pStyle w:val="a5"/>
        <w:rPr>
          <w:rtl/>
        </w:rPr>
      </w:pPr>
      <w:r>
        <w:rPr>
          <w:rStyle w:val="ab"/>
        </w:rPr>
        <w:footnoteRef/>
      </w:r>
      <w:r>
        <w:rPr>
          <w:rtl/>
        </w:rPr>
        <w:t xml:space="preserve"> </w:t>
      </w:r>
      <w:r>
        <w:rPr>
          <w:rFonts w:hint="cs"/>
          <w:sz w:val="24"/>
          <w:rtl/>
        </w:rPr>
        <w:t>מח ע"א ד"ה אין רוח</w:t>
      </w:r>
    </w:p>
  </w:footnote>
  <w:footnote w:id="10">
    <w:p w14:paraId="50CBEA57" w14:textId="2AA1DF20" w:rsidR="00BB3710" w:rsidRDefault="00BB3710">
      <w:pPr>
        <w:pStyle w:val="a5"/>
        <w:rPr>
          <w:rtl/>
        </w:rPr>
      </w:pPr>
      <w:r>
        <w:rPr>
          <w:rStyle w:val="ab"/>
        </w:rPr>
        <w:footnoteRef/>
      </w:r>
      <w:r>
        <w:rPr>
          <w:rtl/>
        </w:rPr>
        <w:t xml:space="preserve"> </w:t>
      </w:r>
      <w:r>
        <w:rPr>
          <w:rFonts w:hint="cs"/>
          <w:sz w:val="24"/>
          <w:rtl/>
        </w:rPr>
        <w:t>קידושין יז:</w:t>
      </w:r>
    </w:p>
  </w:footnote>
  <w:footnote w:id="11">
    <w:p w14:paraId="6116465B" w14:textId="0BB2C509" w:rsidR="00BE3CE9" w:rsidRDefault="00BE3CE9" w:rsidP="00BE3CE9">
      <w:pPr>
        <w:pStyle w:val="a5"/>
        <w:rPr>
          <w:rFonts w:hint="cs"/>
        </w:rPr>
      </w:pPr>
      <w:r>
        <w:rPr>
          <w:rStyle w:val="ab"/>
        </w:rPr>
        <w:footnoteRef/>
      </w:r>
      <w:r>
        <w:rPr>
          <w:rtl/>
        </w:rPr>
        <w:t xml:space="preserve"> </w:t>
      </w:r>
      <w:r>
        <w:rPr>
          <w:rFonts w:hint="cs"/>
          <w:rtl/>
        </w:rPr>
        <w:t>כך גם פסקו הרי"ף והרא"ש</w:t>
      </w:r>
    </w:p>
  </w:footnote>
  <w:footnote w:id="12">
    <w:p w14:paraId="668B5AE3" w14:textId="47296D54" w:rsidR="00BA12FA" w:rsidRDefault="00BA12FA">
      <w:pPr>
        <w:pStyle w:val="a5"/>
      </w:pPr>
      <w:r>
        <w:rPr>
          <w:rStyle w:val="ab"/>
        </w:rPr>
        <w:footnoteRef/>
      </w:r>
      <w:r>
        <w:rPr>
          <w:rtl/>
        </w:rPr>
        <w:t xml:space="preserve"> </w:t>
      </w:r>
      <w:r>
        <w:rPr>
          <w:rFonts w:hint="cs"/>
          <w:rtl/>
        </w:rPr>
        <w:t>כאן ד"ה בימי רבי נשנית משנה זו</w:t>
      </w:r>
    </w:p>
  </w:footnote>
  <w:footnote w:id="13">
    <w:p w14:paraId="0DA33268" w14:textId="4B46CFCD" w:rsidR="003B3096" w:rsidRDefault="003B3096">
      <w:pPr>
        <w:pStyle w:val="a5"/>
        <w:rPr>
          <w:rtl/>
        </w:rPr>
      </w:pPr>
      <w:r>
        <w:rPr>
          <w:rStyle w:val="ab"/>
        </w:rPr>
        <w:footnoteRef/>
      </w:r>
      <w:r>
        <w:rPr>
          <w:rtl/>
        </w:rPr>
        <w:t xml:space="preserve"> </w:t>
      </w:r>
      <w:r>
        <w:rPr>
          <w:rFonts w:hint="cs"/>
          <w:rtl/>
        </w:rPr>
        <w:t xml:space="preserve">כמו כן נראה </w:t>
      </w:r>
      <w:r w:rsidR="00777954">
        <w:rPr>
          <w:rFonts w:hint="cs"/>
          <w:rtl/>
        </w:rPr>
        <w:t xml:space="preserve">מדבריו בספר הישר </w:t>
      </w:r>
      <w:r w:rsidR="00C80DD2">
        <w:rPr>
          <w:rFonts w:hint="cs"/>
          <w:rtl/>
        </w:rPr>
        <w:t>(</w:t>
      </w:r>
      <w:r w:rsidR="00777954">
        <w:rPr>
          <w:rFonts w:hint="cs"/>
          <w:rtl/>
        </w:rPr>
        <w:t>סימן תקנא</w:t>
      </w:r>
      <w:r w:rsidR="00C80DD2">
        <w:rPr>
          <w:rFonts w:hint="cs"/>
          <w:rtl/>
        </w:rPr>
        <w:t>)</w:t>
      </w:r>
      <w:r w:rsidR="00777954">
        <w:rPr>
          <w:rFonts w:hint="cs"/>
          <w:rtl/>
        </w:rPr>
        <w:t xml:space="preserve"> </w:t>
      </w:r>
      <w:r>
        <w:rPr>
          <w:rFonts w:hint="cs"/>
          <w:rtl/>
        </w:rPr>
        <w:t>שר"ת סובר שבזמן תקנה זו, בית דין אינו נזקק לתביעת גזל כלל (כמו המשך דברי התוס'</w:t>
      </w:r>
      <w:r w:rsidR="00A64E26">
        <w:rPr>
          <w:rFonts w:hint="cs"/>
          <w:rtl/>
        </w:rPr>
        <w:t>, שלא מדובר רק באדם שעשה תשובה</w:t>
      </w:r>
      <w:r>
        <w:rPr>
          <w:rFonts w:hint="cs"/>
          <w:rtl/>
        </w:rPr>
        <w:t>).</w:t>
      </w:r>
    </w:p>
  </w:footnote>
  <w:footnote w:id="14">
    <w:p w14:paraId="0529C9A7" w14:textId="218010E1" w:rsidR="00382412" w:rsidRDefault="00382412">
      <w:pPr>
        <w:pStyle w:val="a5"/>
        <w:rPr>
          <w:rFonts w:hint="cs"/>
        </w:rPr>
      </w:pPr>
      <w:r>
        <w:rPr>
          <w:rStyle w:val="ab"/>
        </w:rPr>
        <w:footnoteRef/>
      </w:r>
      <w:r>
        <w:rPr>
          <w:rtl/>
        </w:rPr>
        <w:t xml:space="preserve"> </w:t>
      </w:r>
      <w:r>
        <w:rPr>
          <w:rFonts w:hint="cs"/>
          <w:rtl/>
        </w:rPr>
        <w:t>דף צו ע"ב</w:t>
      </w:r>
    </w:p>
  </w:footnote>
  <w:footnote w:id="15">
    <w:p w14:paraId="73B34EE1" w14:textId="77777777" w:rsidR="00A056F3" w:rsidRDefault="00A056F3" w:rsidP="00A056F3">
      <w:pPr>
        <w:pStyle w:val="a5"/>
      </w:pPr>
      <w:r>
        <w:rPr>
          <w:rStyle w:val="ab"/>
        </w:rPr>
        <w:footnoteRef/>
      </w:r>
      <w:r>
        <w:rPr>
          <w:rtl/>
        </w:rPr>
        <w:t xml:space="preserve"> </w:t>
      </w:r>
      <w:r>
        <w:rPr>
          <w:rFonts w:hint="cs"/>
          <w:rtl/>
        </w:rPr>
        <w:t>שניהם מובאים בשיטה מקובצת כאן</w:t>
      </w:r>
    </w:p>
  </w:footnote>
  <w:footnote w:id="16">
    <w:p w14:paraId="351E33DD" w14:textId="217C9C0C" w:rsidR="00D01750" w:rsidRDefault="00D01750">
      <w:pPr>
        <w:pStyle w:val="a5"/>
        <w:rPr>
          <w:rtl/>
        </w:rPr>
      </w:pPr>
      <w:r>
        <w:rPr>
          <w:rStyle w:val="ab"/>
        </w:rPr>
        <w:footnoteRef/>
      </w:r>
      <w:r>
        <w:rPr>
          <w:rtl/>
        </w:rPr>
        <w:t xml:space="preserve"> </w:t>
      </w:r>
      <w:r>
        <w:rPr>
          <w:rFonts w:hint="cs"/>
          <w:rtl/>
        </w:rPr>
        <w:t>בסימן ב'</w:t>
      </w:r>
    </w:p>
  </w:footnote>
  <w:footnote w:id="17">
    <w:p w14:paraId="5C339E38" w14:textId="0F1C83AC" w:rsidR="00BE3CE9" w:rsidRDefault="00BE3CE9">
      <w:pPr>
        <w:pStyle w:val="a5"/>
        <w:rPr>
          <w:rFonts w:hint="cs"/>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18">
    <w:p w14:paraId="38B3C019" w14:textId="09045A81" w:rsidR="00382412" w:rsidRDefault="00382412">
      <w:pPr>
        <w:pStyle w:val="a5"/>
        <w:rPr>
          <w:rFonts w:hint="cs"/>
        </w:rPr>
      </w:pPr>
      <w:r>
        <w:rPr>
          <w:rStyle w:val="ab"/>
        </w:rPr>
        <w:footnoteRef/>
      </w:r>
      <w:r>
        <w:rPr>
          <w:rtl/>
        </w:rPr>
        <w:t xml:space="preserve"> </w:t>
      </w:r>
      <w:r>
        <w:rPr>
          <w:rFonts w:hint="cs"/>
          <w:rtl/>
        </w:rPr>
        <w:t>על חו"מ שסו, ס"ק א</w:t>
      </w:r>
    </w:p>
  </w:footnote>
  <w:footnote w:id="19">
    <w:p w14:paraId="62F8EFBD" w14:textId="6E267B2C" w:rsidR="0027615D" w:rsidRDefault="0027615D">
      <w:pPr>
        <w:pStyle w:val="a5"/>
        <w:rPr>
          <w:rFonts w:hint="cs"/>
          <w:rtl/>
        </w:rPr>
      </w:pPr>
      <w:r>
        <w:rPr>
          <w:rStyle w:val="ab"/>
        </w:rPr>
        <w:footnoteRef/>
      </w:r>
      <w:r>
        <w:rPr>
          <w:rtl/>
        </w:rPr>
        <w:t xml:space="preserve"> </w:t>
      </w:r>
      <w:r>
        <w:rPr>
          <w:rFonts w:hint="cs"/>
          <w:rtl/>
        </w:rPr>
        <w:t>מובא ביש"ש סימן ג'</w:t>
      </w:r>
    </w:p>
  </w:footnote>
  <w:footnote w:id="20">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1">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יכום שנערך ע"י תלמידיו</w:t>
        </w:r>
      </w:hyperlink>
    </w:p>
  </w:footnote>
  <w:footnote w:id="22">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7398"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7AD58319"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18184A">
      <w:rPr>
        <w:rFonts w:ascii="Times New Roman" w:hAnsi="Times New Roman" w:cs="Times New Roman" w:hint="cs"/>
        <w:noProof/>
        <w:rtl/>
      </w:rPr>
      <w:t>‏</w:t>
    </w:r>
    <w:r w:rsidR="0018184A">
      <w:rPr>
        <w:rFonts w:hint="cs"/>
        <w:noProof/>
        <w:rtl/>
      </w:rPr>
      <w:t>א</w:t>
    </w:r>
    <w:r w:rsidR="0018184A">
      <w:rPr>
        <w:noProof/>
        <w:rtl/>
      </w:rPr>
      <w:t xml:space="preserve">' </w:t>
    </w:r>
    <w:r w:rsidR="0018184A">
      <w:rPr>
        <w:rFonts w:hint="cs"/>
        <w:noProof/>
        <w:rtl/>
      </w:rPr>
      <w:t>סיון</w:t>
    </w:r>
    <w:r w:rsidR="0018184A">
      <w:rPr>
        <w:noProof/>
        <w:rtl/>
      </w:rPr>
      <w:t xml:space="preserve"> </w:t>
    </w:r>
    <w:r w:rsidR="0018184A">
      <w:rPr>
        <w:rFonts w:hint="cs"/>
        <w:noProof/>
        <w:rtl/>
      </w:rPr>
      <w:t>תשפ</w:t>
    </w:r>
    <w:r w:rsidR="0018184A">
      <w:rPr>
        <w:noProof/>
        <w:rtl/>
      </w:rPr>
      <w:t>"</w:t>
    </w:r>
    <w:r w:rsidR="0018184A">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1AB9"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55F1A"/>
    <w:rsid w:val="001076B3"/>
    <w:rsid w:val="00147567"/>
    <w:rsid w:val="0018184A"/>
    <w:rsid w:val="001859BD"/>
    <w:rsid w:val="001C21CC"/>
    <w:rsid w:val="001F0F9D"/>
    <w:rsid w:val="001F3942"/>
    <w:rsid w:val="00205E2A"/>
    <w:rsid w:val="002440AA"/>
    <w:rsid w:val="002630A9"/>
    <w:rsid w:val="00264875"/>
    <w:rsid w:val="0027615D"/>
    <w:rsid w:val="00295891"/>
    <w:rsid w:val="002C6430"/>
    <w:rsid w:val="002D20BC"/>
    <w:rsid w:val="002E4168"/>
    <w:rsid w:val="0034429A"/>
    <w:rsid w:val="00345EB8"/>
    <w:rsid w:val="00372A39"/>
    <w:rsid w:val="00382412"/>
    <w:rsid w:val="00394BC1"/>
    <w:rsid w:val="003A30C2"/>
    <w:rsid w:val="003B1F41"/>
    <w:rsid w:val="003B3096"/>
    <w:rsid w:val="003C4699"/>
    <w:rsid w:val="003D0236"/>
    <w:rsid w:val="003E5630"/>
    <w:rsid w:val="003F24B0"/>
    <w:rsid w:val="003F69A7"/>
    <w:rsid w:val="00417676"/>
    <w:rsid w:val="00423609"/>
    <w:rsid w:val="00444EFB"/>
    <w:rsid w:val="00446D94"/>
    <w:rsid w:val="004875C1"/>
    <w:rsid w:val="004D146B"/>
    <w:rsid w:val="004D34A1"/>
    <w:rsid w:val="004D59AE"/>
    <w:rsid w:val="004F368D"/>
    <w:rsid w:val="00510D8A"/>
    <w:rsid w:val="00517B33"/>
    <w:rsid w:val="00580294"/>
    <w:rsid w:val="0059731E"/>
    <w:rsid w:val="005C4D90"/>
    <w:rsid w:val="005C6576"/>
    <w:rsid w:val="006140F2"/>
    <w:rsid w:val="0061639B"/>
    <w:rsid w:val="00661C3C"/>
    <w:rsid w:val="006856EA"/>
    <w:rsid w:val="00696165"/>
    <w:rsid w:val="006C2AC3"/>
    <w:rsid w:val="006C5113"/>
    <w:rsid w:val="006F31E6"/>
    <w:rsid w:val="006F3263"/>
    <w:rsid w:val="0072639B"/>
    <w:rsid w:val="00734E01"/>
    <w:rsid w:val="0073673F"/>
    <w:rsid w:val="007368C9"/>
    <w:rsid w:val="00752686"/>
    <w:rsid w:val="007738B6"/>
    <w:rsid w:val="00777954"/>
    <w:rsid w:val="007F3F6B"/>
    <w:rsid w:val="008118F8"/>
    <w:rsid w:val="008232F4"/>
    <w:rsid w:val="0083579B"/>
    <w:rsid w:val="008767CF"/>
    <w:rsid w:val="008B70A4"/>
    <w:rsid w:val="008B77B1"/>
    <w:rsid w:val="008D6FCD"/>
    <w:rsid w:val="008F604F"/>
    <w:rsid w:val="00924900"/>
    <w:rsid w:val="0093144B"/>
    <w:rsid w:val="00933C89"/>
    <w:rsid w:val="00934D46"/>
    <w:rsid w:val="00953B19"/>
    <w:rsid w:val="0096316B"/>
    <w:rsid w:val="00971C95"/>
    <w:rsid w:val="009E3F02"/>
    <w:rsid w:val="00A056F3"/>
    <w:rsid w:val="00A059B5"/>
    <w:rsid w:val="00A372A5"/>
    <w:rsid w:val="00A460C0"/>
    <w:rsid w:val="00A64E26"/>
    <w:rsid w:val="00A71461"/>
    <w:rsid w:val="00A825F8"/>
    <w:rsid w:val="00A848A8"/>
    <w:rsid w:val="00AA3427"/>
    <w:rsid w:val="00AC4FE4"/>
    <w:rsid w:val="00B10584"/>
    <w:rsid w:val="00B22214"/>
    <w:rsid w:val="00B3202C"/>
    <w:rsid w:val="00BA12FA"/>
    <w:rsid w:val="00BB33F7"/>
    <w:rsid w:val="00BB3710"/>
    <w:rsid w:val="00BE3CE9"/>
    <w:rsid w:val="00BE6DF8"/>
    <w:rsid w:val="00C058F3"/>
    <w:rsid w:val="00C461A6"/>
    <w:rsid w:val="00C61B2A"/>
    <w:rsid w:val="00C654CE"/>
    <w:rsid w:val="00C80DD2"/>
    <w:rsid w:val="00CB3469"/>
    <w:rsid w:val="00CD34AC"/>
    <w:rsid w:val="00CD7C25"/>
    <w:rsid w:val="00D01750"/>
    <w:rsid w:val="00D146F0"/>
    <w:rsid w:val="00DA044C"/>
    <w:rsid w:val="00DA5081"/>
    <w:rsid w:val="00DC5F45"/>
    <w:rsid w:val="00DD6967"/>
    <w:rsid w:val="00DE09A0"/>
    <w:rsid w:val="00DE251B"/>
    <w:rsid w:val="00E022C6"/>
    <w:rsid w:val="00E36DAE"/>
    <w:rsid w:val="00E36EA2"/>
    <w:rsid w:val="00E54B2D"/>
    <w:rsid w:val="00E72011"/>
    <w:rsid w:val="00EA397A"/>
    <w:rsid w:val="00F05270"/>
    <w:rsid w:val="00F702F7"/>
    <w:rsid w:val="00FB3126"/>
    <w:rsid w:val="00FD15A2"/>
    <w:rsid w:val="00FD1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1088</Words>
  <Characters>5442</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69</cp:revision>
  <dcterms:created xsi:type="dcterms:W3CDTF">2022-05-30T09:07:00Z</dcterms:created>
  <dcterms:modified xsi:type="dcterms:W3CDTF">2022-05-31T19:58:00Z</dcterms:modified>
</cp:coreProperties>
</file>