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05BE" w14:textId="045EA4B4" w:rsidR="004E6DA3" w:rsidRDefault="004E6DA3" w:rsidP="002102D9">
      <w:pPr>
        <w:pStyle w:val="1"/>
        <w:rPr>
          <w:rtl/>
        </w:rPr>
      </w:pPr>
      <w:r>
        <w:rPr>
          <w:rFonts w:hint="cs"/>
          <w:rtl/>
        </w:rPr>
        <w:t xml:space="preserve">שיעור כללי </w:t>
      </w:r>
      <w:r>
        <w:rPr>
          <w:rtl/>
        </w:rPr>
        <w:t>–</w:t>
      </w:r>
      <w:r>
        <w:rPr>
          <w:rFonts w:hint="cs"/>
          <w:rtl/>
        </w:rPr>
        <w:t xml:space="preserve"> בתר מעיקרא או בתר תבר מנא אזלינן</w:t>
      </w:r>
    </w:p>
    <w:p w14:paraId="65D2DC76" w14:textId="4A1B5307" w:rsidR="0058152F" w:rsidRPr="0058152F" w:rsidRDefault="0058152F">
      <w:pPr>
        <w:rPr>
          <w:rtl/>
        </w:rPr>
      </w:pPr>
      <w:r>
        <w:rPr>
          <w:rFonts w:hint="cs"/>
          <w:rtl/>
        </w:rPr>
        <w:t>כתוב בגמרא</w:t>
      </w:r>
      <w:r w:rsidR="00297E07">
        <w:rPr>
          <w:rStyle w:val="ab"/>
          <w:rtl/>
        </w:rPr>
        <w:footnoteReference w:id="1"/>
      </w:r>
      <w:r>
        <w:rPr>
          <w:rFonts w:hint="cs"/>
          <w:rtl/>
        </w:rPr>
        <w:t>:</w:t>
      </w:r>
    </w:p>
    <w:p w14:paraId="2A0946F2" w14:textId="4BDCF0A9" w:rsidR="005D78B9" w:rsidRPr="00301A60" w:rsidRDefault="005D78B9" w:rsidP="00301A60">
      <w:pPr>
        <w:ind w:left="720"/>
        <w:rPr>
          <w:rFonts w:cs="Guttman Keren"/>
          <w:sz w:val="20"/>
          <w:szCs w:val="20"/>
          <w:rtl/>
        </w:rPr>
      </w:pPr>
      <w:r w:rsidRPr="00301A60">
        <w:rPr>
          <w:rFonts w:cs="Guttman Keren"/>
          <w:sz w:val="20"/>
          <w:szCs w:val="20"/>
          <w:rtl/>
        </w:rPr>
        <w:t>בעי רבא</w:t>
      </w:r>
      <w:r w:rsidR="005B3A96">
        <w:rPr>
          <w:rFonts w:cs="Guttman Keren" w:hint="cs"/>
          <w:sz w:val="20"/>
          <w:szCs w:val="20"/>
          <w:rtl/>
        </w:rPr>
        <w:t>:</w:t>
      </w:r>
      <w:r w:rsidRPr="00301A60">
        <w:rPr>
          <w:rFonts w:cs="Guttman Keren"/>
          <w:sz w:val="20"/>
          <w:szCs w:val="20"/>
          <w:rtl/>
        </w:rPr>
        <w:t xml:space="preserve"> דרסה על כלי ולא שברתו ונתגלגל למקום אחר ונשבר</w:t>
      </w:r>
      <w:r w:rsidR="00B277D7">
        <w:rPr>
          <w:rFonts w:cs="Guttman Keren" w:hint="cs"/>
          <w:sz w:val="20"/>
          <w:szCs w:val="20"/>
          <w:rtl/>
        </w:rPr>
        <w:t>,</w:t>
      </w:r>
      <w:r w:rsidRPr="00301A60">
        <w:rPr>
          <w:rFonts w:cs="Guttman Keren"/>
          <w:sz w:val="20"/>
          <w:szCs w:val="20"/>
          <w:rtl/>
        </w:rPr>
        <w:t xml:space="preserve"> מהו</w:t>
      </w:r>
      <w:r w:rsidR="00B277D7">
        <w:rPr>
          <w:rFonts w:cs="Guttman Keren" w:hint="cs"/>
          <w:sz w:val="20"/>
          <w:szCs w:val="20"/>
          <w:rtl/>
        </w:rPr>
        <w:t>?</w:t>
      </w:r>
      <w:r w:rsidRPr="00301A60">
        <w:rPr>
          <w:rFonts w:cs="Guttman Keren"/>
          <w:sz w:val="20"/>
          <w:szCs w:val="20"/>
          <w:rtl/>
        </w:rPr>
        <w:t xml:space="preserve"> בתר מעיקרא אזלינא וגופיה הוא</w:t>
      </w:r>
      <w:r w:rsidR="00B277D7">
        <w:rPr>
          <w:rFonts w:cs="Guttman Keren" w:hint="cs"/>
          <w:sz w:val="20"/>
          <w:szCs w:val="20"/>
          <w:rtl/>
        </w:rPr>
        <w:t>,</w:t>
      </w:r>
      <w:r w:rsidRPr="00301A60">
        <w:rPr>
          <w:rFonts w:cs="Guttman Keren"/>
          <w:sz w:val="20"/>
          <w:szCs w:val="20"/>
          <w:rtl/>
        </w:rPr>
        <w:t xml:space="preserve"> או דלמא בתר תבר מנא אזלינא וצרורות נינהו</w:t>
      </w:r>
      <w:r w:rsidR="005B3A96">
        <w:rPr>
          <w:rFonts w:cs="Guttman Keren" w:hint="cs"/>
          <w:sz w:val="20"/>
          <w:szCs w:val="20"/>
          <w:rtl/>
        </w:rPr>
        <w:t>?</w:t>
      </w:r>
      <w:r w:rsidRPr="00301A60">
        <w:rPr>
          <w:rFonts w:cs="Guttman Keren"/>
          <w:sz w:val="20"/>
          <w:szCs w:val="20"/>
          <w:rtl/>
        </w:rPr>
        <w:t xml:space="preserve"> תפשוט ליה מדרבה</w:t>
      </w:r>
      <w:r w:rsidR="00B277D7">
        <w:rPr>
          <w:rFonts w:cs="Guttman Keren" w:hint="cs"/>
          <w:sz w:val="20"/>
          <w:szCs w:val="20"/>
          <w:rtl/>
        </w:rPr>
        <w:t>,</w:t>
      </w:r>
      <w:r w:rsidRPr="00301A60">
        <w:rPr>
          <w:rFonts w:cs="Guttman Keren"/>
          <w:sz w:val="20"/>
          <w:szCs w:val="20"/>
          <w:rtl/>
        </w:rPr>
        <w:t xml:space="preserve"> דאמר רבה</w:t>
      </w:r>
      <w:r w:rsidR="00B277D7">
        <w:rPr>
          <w:rFonts w:cs="Guttman Keren" w:hint="cs"/>
          <w:sz w:val="20"/>
          <w:szCs w:val="20"/>
          <w:rtl/>
        </w:rPr>
        <w:t>:</w:t>
      </w:r>
      <w:r w:rsidRPr="00301A60">
        <w:rPr>
          <w:rFonts w:cs="Guttman Keren"/>
          <w:sz w:val="20"/>
          <w:szCs w:val="20"/>
          <w:rtl/>
        </w:rPr>
        <w:t xml:space="preserve"> זרק כלי מראש הגג ובא אחר ושברו במקל פטור דאמרינן ליה מנא תבירא תבר</w:t>
      </w:r>
      <w:r w:rsidR="00B277D7">
        <w:rPr>
          <w:rFonts w:cs="Guttman Keren" w:hint="cs"/>
          <w:sz w:val="20"/>
          <w:szCs w:val="20"/>
          <w:rtl/>
        </w:rPr>
        <w:t>.</w:t>
      </w:r>
      <w:r w:rsidRPr="00301A60">
        <w:rPr>
          <w:rFonts w:cs="Guttman Keren"/>
          <w:sz w:val="20"/>
          <w:szCs w:val="20"/>
          <w:rtl/>
        </w:rPr>
        <w:t xml:space="preserve"> לרבה פשיטא ליה</w:t>
      </w:r>
      <w:r w:rsidR="00B277D7">
        <w:rPr>
          <w:rFonts w:cs="Guttman Keren" w:hint="cs"/>
          <w:sz w:val="20"/>
          <w:szCs w:val="20"/>
          <w:rtl/>
        </w:rPr>
        <w:t>,</w:t>
      </w:r>
      <w:r w:rsidRPr="00301A60">
        <w:rPr>
          <w:rFonts w:cs="Guttman Keren"/>
          <w:sz w:val="20"/>
          <w:szCs w:val="20"/>
          <w:rtl/>
        </w:rPr>
        <w:t xml:space="preserve"> לרבא מבעיא ליה</w:t>
      </w:r>
      <w:r w:rsidR="005B3A96">
        <w:rPr>
          <w:rFonts w:cs="Guttman Keren" w:hint="cs"/>
          <w:sz w:val="20"/>
          <w:szCs w:val="20"/>
          <w:rtl/>
        </w:rPr>
        <w:t>.</w:t>
      </w:r>
    </w:p>
    <w:p w14:paraId="0DFC032C" w14:textId="3E49CDD6" w:rsidR="005D78B9" w:rsidRDefault="005D78B9" w:rsidP="005D78B9">
      <w:pPr>
        <w:rPr>
          <w:rtl/>
        </w:rPr>
      </w:pPr>
      <w:r>
        <w:rPr>
          <w:rFonts w:hint="cs"/>
          <w:rtl/>
        </w:rPr>
        <w:t xml:space="preserve">בביאור </w:t>
      </w:r>
      <w:r w:rsidR="00921F1D">
        <w:rPr>
          <w:rFonts w:hint="cs"/>
          <w:rtl/>
        </w:rPr>
        <w:t>דברי רבה</w:t>
      </w:r>
      <w:r>
        <w:rPr>
          <w:rFonts w:hint="cs"/>
          <w:rtl/>
        </w:rPr>
        <w:t xml:space="preserve"> יש שלוש שיטות בראשונים.</w:t>
      </w:r>
    </w:p>
    <w:p w14:paraId="0D34780C" w14:textId="5E366575" w:rsidR="005D78B9" w:rsidRDefault="005D78B9" w:rsidP="0058152F">
      <w:pPr>
        <w:rPr>
          <w:rtl/>
        </w:rPr>
      </w:pPr>
      <w:r>
        <w:rPr>
          <w:rFonts w:hint="cs"/>
          <w:rtl/>
        </w:rPr>
        <w:t>רש"י</w:t>
      </w:r>
      <w:r w:rsidR="00902F34">
        <w:rPr>
          <w:rStyle w:val="ab"/>
          <w:rtl/>
        </w:rPr>
        <w:footnoteReference w:id="2"/>
      </w:r>
      <w:r w:rsidR="001567BF">
        <w:rPr>
          <w:rFonts w:hint="cs"/>
          <w:rtl/>
        </w:rPr>
        <w:t xml:space="preserve"> אומר ש</w:t>
      </w:r>
      <w:r>
        <w:rPr>
          <w:rFonts w:hint="cs"/>
          <w:rtl/>
        </w:rPr>
        <w:t xml:space="preserve">השני פטור </w:t>
      </w:r>
      <w:r w:rsidR="001E2EE7">
        <w:rPr>
          <w:rFonts w:hint="cs"/>
          <w:u w:val="single"/>
          <w:rtl/>
        </w:rPr>
        <w:t>ו</w:t>
      </w:r>
      <w:r w:rsidRPr="00DA78CD">
        <w:rPr>
          <w:rFonts w:hint="cs"/>
          <w:u w:val="single"/>
          <w:rtl/>
        </w:rPr>
        <w:t>הראשון חייב</w:t>
      </w:r>
      <w:r>
        <w:rPr>
          <w:rFonts w:hint="cs"/>
          <w:rtl/>
        </w:rPr>
        <w:t>, ולכן בתר מעיקרא אזלינן</w:t>
      </w:r>
      <w:r w:rsidR="002650EF">
        <w:rPr>
          <w:rFonts w:hint="cs"/>
          <w:rtl/>
        </w:rPr>
        <w:t xml:space="preserve">, כי </w:t>
      </w:r>
      <w:r>
        <w:rPr>
          <w:rFonts w:hint="cs"/>
          <w:rtl/>
        </w:rPr>
        <w:t>אם היינו הולכים בתר תבר מנא אז השני היה חייב והראשון היה פטור.</w:t>
      </w:r>
    </w:p>
    <w:p w14:paraId="5505D98B" w14:textId="16A06313" w:rsidR="00AB5DAB" w:rsidRDefault="00AB5DAB" w:rsidP="0058152F">
      <w:pPr>
        <w:rPr>
          <w:rtl/>
        </w:rPr>
      </w:pPr>
      <w:r>
        <w:rPr>
          <w:rFonts w:hint="cs"/>
          <w:rtl/>
        </w:rPr>
        <w:t>הרמב"ן</w:t>
      </w:r>
      <w:r w:rsidR="006F4465">
        <w:rPr>
          <w:rStyle w:val="ab"/>
          <w:rtl/>
        </w:rPr>
        <w:footnoteReference w:id="3"/>
      </w:r>
      <w:r>
        <w:rPr>
          <w:rFonts w:hint="cs"/>
          <w:rtl/>
        </w:rPr>
        <w:t xml:space="preserve"> אומר שאפילו אם בתר תבר מנא אזלינן, לכלי הזה אין דמים. </w:t>
      </w:r>
      <w:r w:rsidRPr="003F6B39">
        <w:rPr>
          <w:rFonts w:hint="cs"/>
          <w:u w:val="single"/>
          <w:rtl/>
        </w:rPr>
        <w:t>לכן השני בוודאי פטור</w:t>
      </w:r>
      <w:r>
        <w:rPr>
          <w:rFonts w:hint="cs"/>
          <w:rtl/>
        </w:rPr>
        <w:t>.</w:t>
      </w:r>
      <w:r w:rsidR="00301A60">
        <w:rPr>
          <w:rFonts w:hint="cs"/>
          <w:rtl/>
        </w:rPr>
        <w:t xml:space="preserve"> כל השאלה של בתר מעיקרא או בתר תבר מנא זה רק לגבי האם הראשון חייב. לכן בדברי רבה, שאמר "פטור", הכוונה לראשון.</w:t>
      </w:r>
    </w:p>
    <w:p w14:paraId="55F49DB7" w14:textId="1AE1B051" w:rsidR="00DB401A" w:rsidRDefault="003F6B39" w:rsidP="00E330B1">
      <w:pPr>
        <w:rPr>
          <w:rtl/>
        </w:rPr>
      </w:pPr>
      <w:r>
        <w:rPr>
          <w:rFonts w:hint="cs"/>
          <w:rtl/>
        </w:rPr>
        <w:t>הראב"ד</w:t>
      </w:r>
      <w:r>
        <w:rPr>
          <w:rStyle w:val="ab"/>
          <w:rtl/>
        </w:rPr>
        <w:footnoteReference w:id="4"/>
      </w:r>
      <w:r>
        <w:rPr>
          <w:rFonts w:hint="cs"/>
          <w:rtl/>
        </w:rPr>
        <w:t xml:space="preserve"> אומר </w:t>
      </w:r>
      <w:r w:rsidRPr="003F6B39">
        <w:rPr>
          <w:rFonts w:hint="cs"/>
          <w:u w:val="single"/>
          <w:rtl/>
        </w:rPr>
        <w:t>שהראשון בוודאי פטור</w:t>
      </w:r>
      <w:r>
        <w:rPr>
          <w:rFonts w:hint="cs"/>
          <w:rtl/>
        </w:rPr>
        <w:t>, אפילו אם הולכים בתר מעיקרא, כי שמא בסוף הוא לא היה נשבר. והנפק"מ בין בתר מעיקרא לבתר תבר מנא זה רק לגבי השני.</w:t>
      </w:r>
    </w:p>
    <w:tbl>
      <w:tblPr>
        <w:tblStyle w:val="af5"/>
        <w:bidiVisual/>
        <w:tblW w:w="0" w:type="auto"/>
        <w:tblLook w:val="04A0" w:firstRow="1" w:lastRow="0" w:firstColumn="1" w:lastColumn="0" w:noHBand="0" w:noVBand="1"/>
      </w:tblPr>
      <w:tblGrid>
        <w:gridCol w:w="2336"/>
        <w:gridCol w:w="1169"/>
        <w:gridCol w:w="1169"/>
        <w:gridCol w:w="1169"/>
        <w:gridCol w:w="1169"/>
        <w:gridCol w:w="1169"/>
        <w:gridCol w:w="1169"/>
      </w:tblGrid>
      <w:tr w:rsidR="00E330B1" w14:paraId="599303E1" w14:textId="77777777" w:rsidTr="00C61D49">
        <w:tc>
          <w:tcPr>
            <w:tcW w:w="2336" w:type="dxa"/>
          </w:tcPr>
          <w:p w14:paraId="33DD46D4" w14:textId="77777777" w:rsidR="00E330B1" w:rsidRDefault="00E330B1" w:rsidP="005A0BEB">
            <w:pPr>
              <w:rPr>
                <w:rtl/>
              </w:rPr>
            </w:pPr>
          </w:p>
        </w:tc>
        <w:tc>
          <w:tcPr>
            <w:tcW w:w="2338" w:type="dxa"/>
            <w:gridSpan w:val="2"/>
          </w:tcPr>
          <w:p w14:paraId="6558AC3C" w14:textId="7196889F" w:rsidR="00E330B1" w:rsidRPr="00E330B1" w:rsidRDefault="00E330B1" w:rsidP="005A0BEB">
            <w:pPr>
              <w:rPr>
                <w:b/>
                <w:bCs/>
                <w:rtl/>
              </w:rPr>
            </w:pPr>
            <w:r w:rsidRPr="00E330B1">
              <w:rPr>
                <w:rFonts w:hint="cs"/>
                <w:b/>
                <w:bCs/>
                <w:rtl/>
              </w:rPr>
              <w:t>רש"י</w:t>
            </w:r>
          </w:p>
        </w:tc>
        <w:tc>
          <w:tcPr>
            <w:tcW w:w="2338" w:type="dxa"/>
            <w:gridSpan w:val="2"/>
          </w:tcPr>
          <w:p w14:paraId="0FBB8D51" w14:textId="2AD66426" w:rsidR="00E330B1" w:rsidRPr="00E330B1" w:rsidRDefault="00E330B1" w:rsidP="005A0BEB">
            <w:pPr>
              <w:rPr>
                <w:b/>
                <w:bCs/>
                <w:rtl/>
              </w:rPr>
            </w:pPr>
            <w:r w:rsidRPr="00E330B1">
              <w:rPr>
                <w:rFonts w:hint="cs"/>
                <w:b/>
                <w:bCs/>
                <w:rtl/>
              </w:rPr>
              <w:t>רמב"ן</w:t>
            </w:r>
          </w:p>
        </w:tc>
        <w:tc>
          <w:tcPr>
            <w:tcW w:w="2338" w:type="dxa"/>
            <w:gridSpan w:val="2"/>
          </w:tcPr>
          <w:p w14:paraId="2AA6BC50" w14:textId="0E2DFABB" w:rsidR="00E330B1" w:rsidRPr="00E330B1" w:rsidRDefault="00E330B1" w:rsidP="005A0BEB">
            <w:pPr>
              <w:rPr>
                <w:b/>
                <w:bCs/>
                <w:rtl/>
              </w:rPr>
            </w:pPr>
            <w:r w:rsidRPr="00E330B1">
              <w:rPr>
                <w:rFonts w:hint="cs"/>
                <w:b/>
                <w:bCs/>
                <w:rtl/>
              </w:rPr>
              <w:t>ראב"ד</w:t>
            </w:r>
          </w:p>
        </w:tc>
      </w:tr>
      <w:tr w:rsidR="00E330B1" w14:paraId="545EE129" w14:textId="77777777" w:rsidTr="00DB1BB5">
        <w:tc>
          <w:tcPr>
            <w:tcW w:w="2336" w:type="dxa"/>
          </w:tcPr>
          <w:p w14:paraId="02994084" w14:textId="2F53FC91" w:rsidR="00E330B1" w:rsidRDefault="00E330B1" w:rsidP="005A0BEB">
            <w:pPr>
              <w:rPr>
                <w:rtl/>
              </w:rPr>
            </w:pPr>
          </w:p>
        </w:tc>
        <w:tc>
          <w:tcPr>
            <w:tcW w:w="1169" w:type="dxa"/>
          </w:tcPr>
          <w:p w14:paraId="4C4CAE3E" w14:textId="284E9443" w:rsidR="00E330B1" w:rsidRPr="002C40C0" w:rsidRDefault="00E330B1" w:rsidP="005A0BEB">
            <w:pPr>
              <w:rPr>
                <w:u w:val="single"/>
                <w:rtl/>
              </w:rPr>
            </w:pPr>
            <w:r w:rsidRPr="002C40C0">
              <w:rPr>
                <w:rFonts w:hint="cs"/>
                <w:u w:val="single"/>
                <w:rtl/>
              </w:rPr>
              <w:t>ראשון</w:t>
            </w:r>
          </w:p>
        </w:tc>
        <w:tc>
          <w:tcPr>
            <w:tcW w:w="1169" w:type="dxa"/>
          </w:tcPr>
          <w:p w14:paraId="34C55366" w14:textId="5D650B9D" w:rsidR="00E330B1" w:rsidRPr="002C40C0" w:rsidRDefault="00E330B1" w:rsidP="005A0BEB">
            <w:pPr>
              <w:rPr>
                <w:u w:val="single"/>
                <w:rtl/>
              </w:rPr>
            </w:pPr>
            <w:r w:rsidRPr="002C40C0">
              <w:rPr>
                <w:rFonts w:hint="cs"/>
                <w:u w:val="single"/>
                <w:rtl/>
              </w:rPr>
              <w:t>שני</w:t>
            </w:r>
          </w:p>
        </w:tc>
        <w:tc>
          <w:tcPr>
            <w:tcW w:w="1169" w:type="dxa"/>
          </w:tcPr>
          <w:p w14:paraId="111D367E" w14:textId="712C773E" w:rsidR="00E330B1" w:rsidRPr="002C40C0" w:rsidRDefault="00E330B1" w:rsidP="005A0BEB">
            <w:pPr>
              <w:rPr>
                <w:u w:val="single"/>
                <w:rtl/>
              </w:rPr>
            </w:pPr>
            <w:r w:rsidRPr="002C40C0">
              <w:rPr>
                <w:rFonts w:hint="cs"/>
                <w:u w:val="single"/>
                <w:rtl/>
              </w:rPr>
              <w:t>ראשון</w:t>
            </w:r>
          </w:p>
        </w:tc>
        <w:tc>
          <w:tcPr>
            <w:tcW w:w="1169" w:type="dxa"/>
          </w:tcPr>
          <w:p w14:paraId="28C0295C" w14:textId="4AC6C4C1" w:rsidR="00E330B1" w:rsidRPr="002C40C0" w:rsidRDefault="00E330B1" w:rsidP="005A0BEB">
            <w:pPr>
              <w:rPr>
                <w:u w:val="single"/>
                <w:rtl/>
              </w:rPr>
            </w:pPr>
            <w:r w:rsidRPr="002C40C0">
              <w:rPr>
                <w:rFonts w:hint="cs"/>
                <w:u w:val="single"/>
                <w:rtl/>
              </w:rPr>
              <w:t>שני</w:t>
            </w:r>
          </w:p>
        </w:tc>
        <w:tc>
          <w:tcPr>
            <w:tcW w:w="1169" w:type="dxa"/>
          </w:tcPr>
          <w:p w14:paraId="6EFF80FE" w14:textId="21EAB42A" w:rsidR="00E330B1" w:rsidRPr="002C40C0" w:rsidRDefault="00E330B1" w:rsidP="005A0BEB">
            <w:pPr>
              <w:rPr>
                <w:u w:val="single"/>
                <w:rtl/>
              </w:rPr>
            </w:pPr>
            <w:r w:rsidRPr="002C40C0">
              <w:rPr>
                <w:rFonts w:hint="cs"/>
                <w:u w:val="single"/>
                <w:rtl/>
              </w:rPr>
              <w:t>ראשון</w:t>
            </w:r>
          </w:p>
        </w:tc>
        <w:tc>
          <w:tcPr>
            <w:tcW w:w="1169" w:type="dxa"/>
          </w:tcPr>
          <w:p w14:paraId="5B04708E" w14:textId="7E8DA436" w:rsidR="00E330B1" w:rsidRPr="002C40C0" w:rsidRDefault="00E330B1" w:rsidP="005A0BEB">
            <w:pPr>
              <w:rPr>
                <w:u w:val="single"/>
                <w:rtl/>
              </w:rPr>
            </w:pPr>
            <w:r w:rsidRPr="002C40C0">
              <w:rPr>
                <w:rFonts w:hint="cs"/>
                <w:u w:val="single"/>
                <w:rtl/>
              </w:rPr>
              <w:t>שני</w:t>
            </w:r>
          </w:p>
        </w:tc>
      </w:tr>
      <w:tr w:rsidR="00E330B1" w14:paraId="04F047CB" w14:textId="77777777" w:rsidTr="00F916F2">
        <w:tc>
          <w:tcPr>
            <w:tcW w:w="2336" w:type="dxa"/>
          </w:tcPr>
          <w:p w14:paraId="6BFA517E" w14:textId="0BDFA72E" w:rsidR="00E330B1" w:rsidRPr="00E330B1" w:rsidRDefault="00E330B1" w:rsidP="005A0BEB">
            <w:pPr>
              <w:rPr>
                <w:b/>
                <w:bCs/>
                <w:rtl/>
              </w:rPr>
            </w:pPr>
            <w:r w:rsidRPr="00E330B1">
              <w:rPr>
                <w:rFonts w:hint="cs"/>
                <w:b/>
                <w:bCs/>
                <w:rtl/>
              </w:rPr>
              <w:t>בתר מעיקרא</w:t>
            </w:r>
          </w:p>
        </w:tc>
        <w:tc>
          <w:tcPr>
            <w:tcW w:w="1169" w:type="dxa"/>
          </w:tcPr>
          <w:p w14:paraId="7D15454E" w14:textId="02F1DD7D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חייב</w:t>
            </w:r>
          </w:p>
        </w:tc>
        <w:tc>
          <w:tcPr>
            <w:tcW w:w="1169" w:type="dxa"/>
          </w:tcPr>
          <w:p w14:paraId="3410CF53" w14:textId="6D3B0495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03EE8516" w14:textId="7E07E839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חייב</w:t>
            </w:r>
          </w:p>
        </w:tc>
        <w:tc>
          <w:tcPr>
            <w:tcW w:w="1169" w:type="dxa"/>
          </w:tcPr>
          <w:p w14:paraId="70745FFA" w14:textId="5F3B1A9B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3B92E27F" w14:textId="5C93C8E1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0D07F28A" w14:textId="50D3A8A4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</w:tr>
      <w:tr w:rsidR="00E330B1" w14:paraId="46201C47" w14:textId="77777777" w:rsidTr="00F916F2">
        <w:tc>
          <w:tcPr>
            <w:tcW w:w="2336" w:type="dxa"/>
          </w:tcPr>
          <w:p w14:paraId="29979D7F" w14:textId="36E2A155" w:rsidR="00E330B1" w:rsidRPr="00E330B1" w:rsidRDefault="00E330B1" w:rsidP="005A0BEB">
            <w:pPr>
              <w:rPr>
                <w:b/>
                <w:bCs/>
                <w:rtl/>
              </w:rPr>
            </w:pPr>
            <w:r w:rsidRPr="00E330B1">
              <w:rPr>
                <w:rFonts w:hint="cs"/>
                <w:b/>
                <w:bCs/>
                <w:rtl/>
              </w:rPr>
              <w:t>בתר תבר מנא</w:t>
            </w:r>
          </w:p>
        </w:tc>
        <w:tc>
          <w:tcPr>
            <w:tcW w:w="1169" w:type="dxa"/>
          </w:tcPr>
          <w:p w14:paraId="3881E62E" w14:textId="7E75DE73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6A6852C4" w14:textId="1A0A277A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חייב</w:t>
            </w:r>
          </w:p>
        </w:tc>
        <w:tc>
          <w:tcPr>
            <w:tcW w:w="1169" w:type="dxa"/>
          </w:tcPr>
          <w:p w14:paraId="3F3C2429" w14:textId="410F3F07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01441583" w14:textId="67F65C78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2BF9E32F" w14:textId="742A46DD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פטור</w:t>
            </w:r>
          </w:p>
        </w:tc>
        <w:tc>
          <w:tcPr>
            <w:tcW w:w="1169" w:type="dxa"/>
          </w:tcPr>
          <w:p w14:paraId="2C8D5C71" w14:textId="578ABCAE" w:rsidR="00E330B1" w:rsidRDefault="00E330B1" w:rsidP="005A0BEB">
            <w:pPr>
              <w:rPr>
                <w:rtl/>
              </w:rPr>
            </w:pPr>
            <w:r>
              <w:rPr>
                <w:rFonts w:hint="cs"/>
                <w:rtl/>
              </w:rPr>
              <w:t>חייב</w:t>
            </w:r>
          </w:p>
        </w:tc>
      </w:tr>
    </w:tbl>
    <w:p w14:paraId="4D707BC6" w14:textId="77777777" w:rsidR="00965775" w:rsidRDefault="00965775" w:rsidP="0058152F">
      <w:pPr>
        <w:rPr>
          <w:rtl/>
        </w:rPr>
      </w:pPr>
    </w:p>
    <w:p w14:paraId="2E5470FA" w14:textId="6BC05B03" w:rsidR="0085310E" w:rsidRDefault="0085310E" w:rsidP="0058152F">
      <w:r>
        <w:rPr>
          <w:rFonts w:hint="cs"/>
          <w:rtl/>
        </w:rPr>
        <w:t>לרמב"ן יש שלוש קושיות</w:t>
      </w:r>
      <w:r w:rsidR="002F2CCF">
        <w:rPr>
          <w:rFonts w:hint="cs"/>
          <w:rtl/>
        </w:rPr>
        <w:t xml:space="preserve"> על רש"י</w:t>
      </w:r>
      <w:r>
        <w:rPr>
          <w:rFonts w:hint="cs"/>
          <w:rtl/>
        </w:rPr>
        <w:t>.</w:t>
      </w:r>
    </w:p>
    <w:p w14:paraId="0913D299" w14:textId="3F4EFEF9" w:rsidR="0001336A" w:rsidRDefault="0001336A" w:rsidP="0001336A">
      <w:pPr>
        <w:pStyle w:val="af4"/>
        <w:numPr>
          <w:ilvl w:val="0"/>
          <w:numId w:val="1"/>
        </w:numPr>
      </w:pPr>
      <w:r>
        <w:rPr>
          <w:rFonts w:hint="cs"/>
          <w:rtl/>
        </w:rPr>
        <w:t>הזורק תינוק מראש הגג ובא אחר וקבלו בסיף</w:t>
      </w:r>
      <w:r w:rsidR="005A0BEB">
        <w:rPr>
          <w:rStyle w:val="ab"/>
          <w:rtl/>
        </w:rPr>
        <w:footnoteReference w:id="5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האחר חייב. למה הוא חייב? לכאורה זה כמו מנא תבירא תבר</w:t>
      </w:r>
      <w:r w:rsidR="00AA714F">
        <w:rPr>
          <w:rFonts w:hint="cs"/>
          <w:rtl/>
        </w:rPr>
        <w:t xml:space="preserve"> ("גברא קטילא קטל")</w:t>
      </w:r>
      <w:r>
        <w:rPr>
          <w:rFonts w:hint="cs"/>
          <w:rtl/>
        </w:rPr>
        <w:t>.</w:t>
      </w:r>
    </w:p>
    <w:p w14:paraId="575F8351" w14:textId="48652A63" w:rsidR="0001336A" w:rsidRDefault="005A0BEB" w:rsidP="005A0BEB">
      <w:pPr>
        <w:pStyle w:val="af4"/>
        <w:numPr>
          <w:ilvl w:val="0"/>
          <w:numId w:val="1"/>
        </w:numPr>
      </w:pPr>
      <w:r>
        <w:rPr>
          <w:rFonts w:hint="cs"/>
          <w:rtl/>
        </w:rPr>
        <w:t xml:space="preserve">במחלוקת של </w:t>
      </w:r>
      <w:r w:rsidR="0082319A">
        <w:rPr>
          <w:rFonts w:hint="cs"/>
          <w:rtl/>
        </w:rPr>
        <w:t xml:space="preserve">רבי יהודה בן בתירה </w:t>
      </w:r>
      <w:r>
        <w:rPr>
          <w:rFonts w:hint="cs"/>
          <w:rtl/>
        </w:rPr>
        <w:t>ורבנן</w:t>
      </w:r>
      <w:r>
        <w:rPr>
          <w:rStyle w:val="ab"/>
          <w:rtl/>
        </w:rPr>
        <w:footnoteReference w:id="6"/>
      </w:r>
      <w:r>
        <w:rPr>
          <w:rFonts w:hint="cs"/>
          <w:rtl/>
        </w:rPr>
        <w:t xml:space="preserve">, לגבי עשרה אנשים שהכו בן אדם עם עשרה מקלות בזה אחר זה, ריב"ב מחייב את האחרון שהרג </w:t>
      </w:r>
      <w:r w:rsidR="0082319A" w:rsidRPr="00297E07">
        <w:rPr>
          <w:rFonts w:hint="cs"/>
          <w:u w:val="single"/>
          <w:rtl/>
        </w:rPr>
        <w:t>מכיוון שקירב מיתתו</w:t>
      </w:r>
      <w:r w:rsidR="0082319A">
        <w:rPr>
          <w:rFonts w:hint="cs"/>
          <w:rtl/>
        </w:rPr>
        <w:t>. מה זה קירב מיתתו?</w:t>
      </w:r>
      <w:r w:rsidR="0082319A">
        <w:rPr>
          <w:rFonts w:hint="cs"/>
        </w:rPr>
        <w:t xml:space="preserve"> </w:t>
      </w:r>
      <w:r w:rsidR="0082319A">
        <w:rPr>
          <w:rFonts w:hint="cs"/>
          <w:rtl/>
        </w:rPr>
        <w:t>הוא היה אמור למות בכל מקרה.</w:t>
      </w:r>
    </w:p>
    <w:p w14:paraId="108AE9D7" w14:textId="70A01543" w:rsidR="0082319A" w:rsidRDefault="008F5B0B" w:rsidP="0001336A">
      <w:pPr>
        <w:pStyle w:val="af4"/>
        <w:numPr>
          <w:ilvl w:val="0"/>
          <w:numId w:val="1"/>
        </w:numPr>
      </w:pPr>
      <w:r>
        <w:rPr>
          <w:rFonts w:hint="cs"/>
          <w:rtl/>
        </w:rPr>
        <w:t xml:space="preserve">גם </w:t>
      </w:r>
      <w:r w:rsidR="0082319A">
        <w:rPr>
          <w:rFonts w:hint="cs"/>
          <w:rtl/>
        </w:rPr>
        <w:t>אם בתר תבר מנא, למה השני חייב?</w:t>
      </w:r>
      <w:r w:rsidR="0082319A">
        <w:rPr>
          <w:rFonts w:hint="cs"/>
        </w:rPr>
        <w:t xml:space="preserve"> </w:t>
      </w:r>
      <w:r w:rsidR="0082319A">
        <w:rPr>
          <w:rFonts w:hint="cs"/>
          <w:rtl/>
        </w:rPr>
        <w:t>הרי הכלי הזה לא שווה כלום.</w:t>
      </w:r>
    </w:p>
    <w:p w14:paraId="375A95A8" w14:textId="63E7D0FB" w:rsidR="002F2CCF" w:rsidRDefault="002F2CCF" w:rsidP="002F2CCF">
      <w:pPr>
        <w:rPr>
          <w:rtl/>
        </w:rPr>
      </w:pPr>
      <w:r>
        <w:rPr>
          <w:rFonts w:hint="cs"/>
          <w:rtl/>
        </w:rPr>
        <w:t>תוספות</w:t>
      </w:r>
      <w:r w:rsidR="00921F1D">
        <w:rPr>
          <w:rStyle w:val="ab"/>
          <w:rtl/>
        </w:rPr>
        <w:footnoteReference w:id="7"/>
      </w:r>
      <w:r>
        <w:rPr>
          <w:rFonts w:hint="cs"/>
          <w:rtl/>
        </w:rPr>
        <w:t>:</w:t>
      </w:r>
    </w:p>
    <w:p w14:paraId="3F455D92" w14:textId="16808497" w:rsidR="002F2CCF" w:rsidRDefault="002F2CCF" w:rsidP="002F2CCF">
      <w:pPr>
        <w:ind w:left="720"/>
        <w:rPr>
          <w:rFonts w:cs="Guttman Keren"/>
          <w:rtl/>
        </w:rPr>
      </w:pPr>
      <w:r w:rsidRPr="002F2CCF">
        <w:rPr>
          <w:rFonts w:cs="Guttman Keren"/>
          <w:sz w:val="20"/>
          <w:szCs w:val="20"/>
          <w:rtl/>
        </w:rPr>
        <w:t xml:space="preserve">נראה דאם זרק אבן או חץ על הכלי ובא אחר וקדם ושברו </w:t>
      </w:r>
      <w:r w:rsidRPr="00297E07">
        <w:rPr>
          <w:rFonts w:cs="Guttman Keren"/>
          <w:sz w:val="20"/>
          <w:szCs w:val="20"/>
          <w:u w:val="single"/>
          <w:rtl/>
        </w:rPr>
        <w:t>דפשיטא דחייב</w:t>
      </w:r>
      <w:r w:rsidRPr="002F2CCF">
        <w:rPr>
          <w:rFonts w:cs="Guttman Keren"/>
          <w:sz w:val="20"/>
          <w:szCs w:val="20"/>
          <w:rtl/>
        </w:rPr>
        <w:t xml:space="preserve"> ולא שייך כאן מנא תבירא תבר </w:t>
      </w:r>
      <w:r w:rsidRPr="00C7796A">
        <w:rPr>
          <w:rFonts w:cs="Guttman Keren"/>
          <w:sz w:val="20"/>
          <w:szCs w:val="20"/>
          <w:u w:val="single"/>
          <w:rtl/>
        </w:rPr>
        <w:t>דאי אזלינן נמי הכא בתר מעיקרא לא משכחת בצרורות ח"נ</w:t>
      </w:r>
      <w:r w:rsidRPr="002F2CCF">
        <w:rPr>
          <w:rFonts w:cs="Guttman Keren"/>
          <w:sz w:val="20"/>
          <w:szCs w:val="20"/>
          <w:rtl/>
        </w:rPr>
        <w:t xml:space="preserve"> וסברא פשוטה היא לחלק בין זורק אבן לזורק כלי עצמו.</w:t>
      </w:r>
    </w:p>
    <w:p w14:paraId="541C43CE" w14:textId="6E2DA95B" w:rsidR="005B3A96" w:rsidRPr="00C7796A" w:rsidRDefault="009667D6" w:rsidP="008313BD">
      <w:pPr>
        <w:rPr>
          <w:rtl/>
        </w:rPr>
      </w:pPr>
      <w:r>
        <w:rPr>
          <w:rFonts w:hint="cs"/>
          <w:rtl/>
        </w:rPr>
        <w:t>קצות החושן</w:t>
      </w:r>
      <w:r>
        <w:rPr>
          <w:rStyle w:val="ab"/>
          <w:rtl/>
        </w:rPr>
        <w:footnoteReference w:id="8"/>
      </w:r>
      <w:r>
        <w:rPr>
          <w:rFonts w:hint="cs"/>
          <w:rtl/>
        </w:rPr>
        <w:t xml:space="preserve"> </w:t>
      </w:r>
      <w:r w:rsidR="002F2CCF">
        <w:rPr>
          <w:rFonts w:hint="cs"/>
          <w:rtl/>
        </w:rPr>
        <w:t>אומר שהרא"ש</w:t>
      </w:r>
      <w:r w:rsidR="00BE61C0">
        <w:rPr>
          <w:rStyle w:val="ab"/>
          <w:rtl/>
        </w:rPr>
        <w:footnoteReference w:id="9"/>
      </w:r>
      <w:r w:rsidR="002F2CCF">
        <w:rPr>
          <w:rFonts w:hint="cs"/>
          <w:rtl/>
        </w:rPr>
        <w:t xml:space="preserve"> חולק על תוס'</w:t>
      </w:r>
      <w:r w:rsidR="00F25DF7">
        <w:rPr>
          <w:rFonts w:hint="cs"/>
          <w:rtl/>
        </w:rPr>
        <w:t>, ולא מחלק בין זורק כלי לבין זורק חץ על כלי</w:t>
      </w:r>
      <w:r w:rsidR="00D45FFB">
        <w:rPr>
          <w:rFonts w:hint="cs"/>
          <w:rtl/>
        </w:rPr>
        <w:t xml:space="preserve">, </w:t>
      </w:r>
      <w:r w:rsidR="00BE61C0">
        <w:rPr>
          <w:rFonts w:hint="cs"/>
          <w:rtl/>
        </w:rPr>
        <w:t>וסובר שב</w:t>
      </w:r>
      <w:r w:rsidR="00D45FFB">
        <w:rPr>
          <w:rFonts w:hint="cs"/>
          <w:rtl/>
        </w:rPr>
        <w:t>שניהם בתר מעיקרא</w:t>
      </w:r>
      <w:r w:rsidR="00C7796A">
        <w:rPr>
          <w:rFonts w:hint="cs"/>
          <w:rtl/>
        </w:rPr>
        <w:t>, כי לגבי התיזה ברה"ר והזיקה ברה"י הרא"ש כותב שחייב</w:t>
      </w:r>
      <w:r w:rsidR="008F1D29">
        <w:rPr>
          <w:rFonts w:hint="cs"/>
          <w:rtl/>
        </w:rPr>
        <w:t xml:space="preserve"> למרות שאזלינן בתר מעיקרא,</w:t>
      </w:r>
      <w:r w:rsidR="00C7796A">
        <w:rPr>
          <w:rFonts w:hint="cs"/>
          <w:rtl/>
        </w:rPr>
        <w:t xml:space="preserve"> </w:t>
      </w:r>
      <w:r w:rsidR="00C7796A">
        <w:rPr>
          <w:rFonts w:hint="cs"/>
          <w:u w:val="single"/>
          <w:rtl/>
        </w:rPr>
        <w:t>רק בגלל שיש חידוש פסוק</w:t>
      </w:r>
      <w:r w:rsidR="002102D9">
        <w:rPr>
          <w:rStyle w:val="ab"/>
          <w:rtl/>
        </w:rPr>
        <w:footnoteReference w:id="10"/>
      </w:r>
      <w:r w:rsidR="00C7796A">
        <w:rPr>
          <w:rFonts w:hint="cs"/>
          <w:rtl/>
        </w:rPr>
        <w:t>, ואם היה סובר כמו תוספות שהולכים אחר הסוף, לא היה נצרך ל</w:t>
      </w:r>
      <w:r w:rsidR="00C354D5">
        <w:rPr>
          <w:rFonts w:hint="cs"/>
          <w:rtl/>
        </w:rPr>
        <w:t>ָ</w:t>
      </w:r>
      <w:r w:rsidR="00C7796A">
        <w:rPr>
          <w:rFonts w:hint="cs"/>
          <w:rtl/>
        </w:rPr>
        <w:t>פ</w:t>
      </w:r>
      <w:r w:rsidR="00C354D5">
        <w:rPr>
          <w:rFonts w:hint="cs"/>
          <w:rtl/>
        </w:rPr>
        <w:t>ּ</w:t>
      </w:r>
      <w:r w:rsidR="00C7796A">
        <w:rPr>
          <w:rFonts w:hint="cs"/>
          <w:rtl/>
        </w:rPr>
        <w:t>סוק</w:t>
      </w:r>
      <w:r w:rsidR="00591D8E">
        <w:rPr>
          <w:rFonts w:hint="cs"/>
          <w:rtl/>
        </w:rPr>
        <w:t xml:space="preserve">, כי תוספות אומר שבמקרה כזה </w:t>
      </w:r>
      <w:r w:rsidR="002A502A">
        <w:rPr>
          <w:rFonts w:hint="cs"/>
          <w:rtl/>
        </w:rPr>
        <w:t xml:space="preserve">(שהוא בדיוק כמו חץ) </w:t>
      </w:r>
      <w:r w:rsidR="00591D8E">
        <w:rPr>
          <w:rFonts w:hint="cs"/>
          <w:rtl/>
        </w:rPr>
        <w:t>לא הולכים בתר מעיקרא</w:t>
      </w:r>
      <w:r w:rsidR="00C7796A">
        <w:rPr>
          <w:rFonts w:hint="cs"/>
          <w:rtl/>
        </w:rPr>
        <w:t>.</w:t>
      </w:r>
    </w:p>
    <w:p w14:paraId="0EDD3267" w14:textId="26F3A17C" w:rsidR="00242DC1" w:rsidRDefault="002750FC" w:rsidP="005B3A96">
      <w:pPr>
        <w:rPr>
          <w:rtl/>
        </w:rPr>
      </w:pPr>
      <w:r>
        <w:rPr>
          <w:rFonts w:hint="cs"/>
          <w:rtl/>
        </w:rPr>
        <w:lastRenderedPageBreak/>
        <w:t>הקצות מביא עוד ראיה שהרא"ש חולק על תוספות</w:t>
      </w:r>
      <w:r w:rsidR="00141054">
        <w:rPr>
          <w:rFonts w:hint="cs"/>
          <w:rtl/>
        </w:rPr>
        <w:t xml:space="preserve">, במקרה של </w:t>
      </w:r>
      <w:r w:rsidR="000E5B88">
        <w:rPr>
          <w:rFonts w:hint="cs"/>
          <w:rtl/>
        </w:rPr>
        <w:t>"</w:t>
      </w:r>
      <w:r w:rsidR="00242DC1">
        <w:rPr>
          <w:rFonts w:hint="cs"/>
          <w:rtl/>
        </w:rPr>
        <w:t>מרבה בחבילה</w:t>
      </w:r>
      <w:r w:rsidR="000E5B88">
        <w:rPr>
          <w:rFonts w:hint="cs"/>
          <w:rtl/>
        </w:rPr>
        <w:t>"</w:t>
      </w:r>
      <w:r w:rsidR="00B21F8B">
        <w:rPr>
          <w:rStyle w:val="ab"/>
          <w:rtl/>
        </w:rPr>
        <w:footnoteReference w:id="11"/>
      </w:r>
      <w:r w:rsidR="00242DC1">
        <w:rPr>
          <w:rFonts w:hint="cs"/>
          <w:rtl/>
        </w:rPr>
        <w:t xml:space="preserve"> </w:t>
      </w:r>
      <w:r w:rsidR="00242DC1">
        <w:rPr>
          <w:rtl/>
        </w:rPr>
        <w:t>–</w:t>
      </w:r>
      <w:r w:rsidR="00242DC1">
        <w:rPr>
          <w:rFonts w:hint="cs"/>
          <w:rtl/>
        </w:rPr>
        <w:t xml:space="preserve"> אחד הדליק אש ובא אחר והוסיף</w:t>
      </w:r>
      <w:r w:rsidR="00B21F8B">
        <w:rPr>
          <w:rFonts w:hint="cs"/>
          <w:rtl/>
        </w:rPr>
        <w:t xml:space="preserve"> עצים</w:t>
      </w:r>
      <w:r w:rsidR="00242DC1">
        <w:rPr>
          <w:rFonts w:hint="cs"/>
          <w:rtl/>
        </w:rPr>
        <w:t xml:space="preserve">. אם יש במה שעשה הראשון כדי שתגיע למקום, </w:t>
      </w:r>
      <w:r w:rsidR="004C55F7">
        <w:rPr>
          <w:rFonts w:hint="cs"/>
          <w:rtl/>
        </w:rPr>
        <w:t>הטור</w:t>
      </w:r>
      <w:r w:rsidR="0035201B">
        <w:rPr>
          <w:rStyle w:val="ab"/>
          <w:rtl/>
        </w:rPr>
        <w:footnoteReference w:id="12"/>
      </w:r>
      <w:r w:rsidR="004C55F7">
        <w:rPr>
          <w:rFonts w:hint="cs"/>
          <w:rtl/>
        </w:rPr>
        <w:t xml:space="preserve"> פוסק ש</w:t>
      </w:r>
      <w:r w:rsidR="00242DC1">
        <w:rPr>
          <w:rFonts w:hint="cs"/>
          <w:rtl/>
        </w:rPr>
        <w:t>הראשון חייב</w:t>
      </w:r>
      <w:r w:rsidR="004C55F7">
        <w:rPr>
          <w:rFonts w:hint="cs"/>
          <w:rtl/>
        </w:rPr>
        <w:t xml:space="preserve"> והשני פטור</w:t>
      </w:r>
      <w:r w:rsidR="00242DC1">
        <w:rPr>
          <w:rFonts w:hint="cs"/>
          <w:rtl/>
        </w:rPr>
        <w:t xml:space="preserve">, </w:t>
      </w:r>
      <w:r w:rsidR="00CC656C">
        <w:rPr>
          <w:rFonts w:hint="cs"/>
          <w:rtl/>
        </w:rPr>
        <w:t xml:space="preserve">שהרי </w:t>
      </w:r>
      <w:r w:rsidR="00242DC1">
        <w:rPr>
          <w:rFonts w:hint="cs"/>
          <w:rtl/>
        </w:rPr>
        <w:t>אשו משום חציו.</w:t>
      </w:r>
      <w:r w:rsidR="00FD1767">
        <w:rPr>
          <w:rFonts w:hint="cs"/>
          <w:rtl/>
        </w:rPr>
        <w:t xml:space="preserve"> </w:t>
      </w:r>
      <w:r w:rsidR="00242DC1">
        <w:rPr>
          <w:rFonts w:hint="cs"/>
          <w:rtl/>
        </w:rPr>
        <w:t xml:space="preserve">לפי תוספות, לכאורה גם השני אמור להיות </w:t>
      </w:r>
      <w:r w:rsidR="000C111F">
        <w:rPr>
          <w:rFonts w:hint="cs"/>
          <w:rtl/>
        </w:rPr>
        <w:t>חייב</w:t>
      </w:r>
      <w:r w:rsidR="00FB0FBD">
        <w:rPr>
          <w:rFonts w:hint="cs"/>
          <w:rtl/>
        </w:rPr>
        <w:t>,</w:t>
      </w:r>
      <w:r w:rsidR="00FD1767">
        <w:rPr>
          <w:rFonts w:hint="cs"/>
          <w:rtl/>
        </w:rPr>
        <w:t xml:space="preserve"> כי זה כמו </w:t>
      </w:r>
      <w:r>
        <w:rPr>
          <w:rFonts w:hint="cs"/>
          <w:rtl/>
        </w:rPr>
        <w:t>המקרה של זורק חץ.</w:t>
      </w:r>
    </w:p>
    <w:p w14:paraId="5A4FBC7A" w14:textId="08245305" w:rsidR="000C111F" w:rsidRDefault="00312D14" w:rsidP="00A545FB">
      <w:pPr>
        <w:rPr>
          <w:rtl/>
        </w:rPr>
      </w:pPr>
      <w:r>
        <w:rPr>
          <w:rFonts w:hint="cs"/>
          <w:rtl/>
        </w:rPr>
        <w:t>דברי הקצות צריכים עיון</w:t>
      </w:r>
      <w:r w:rsidR="00BD359A">
        <w:rPr>
          <w:rStyle w:val="ab"/>
          <w:rtl/>
        </w:rPr>
        <w:footnoteReference w:id="13"/>
      </w:r>
      <w:r>
        <w:rPr>
          <w:rFonts w:hint="cs"/>
          <w:rtl/>
        </w:rPr>
        <w:t xml:space="preserve">, </w:t>
      </w:r>
      <w:r w:rsidR="000C111F">
        <w:rPr>
          <w:rFonts w:hint="cs"/>
          <w:rtl/>
        </w:rPr>
        <w:t>למה הגמרא לא הזכירה לגבי "המרבה בחבילה" את הדין של בתר מעיקרא או בתר תבר מנא</w:t>
      </w:r>
      <w:r w:rsidR="006A5AEA">
        <w:rPr>
          <w:rFonts w:hint="cs"/>
          <w:rtl/>
        </w:rPr>
        <w:t>, וגם את החילוק בין אשו משום חציו או משום ממונו</w:t>
      </w:r>
      <w:r w:rsidR="000C111F">
        <w:rPr>
          <w:rFonts w:hint="cs"/>
          <w:rtl/>
        </w:rPr>
        <w:t xml:space="preserve">? חוץ מזה, </w:t>
      </w:r>
      <w:r w:rsidR="006A5AEA">
        <w:rPr>
          <w:rFonts w:hint="cs"/>
          <w:rtl/>
        </w:rPr>
        <w:t>אם הולכים בתר מעיקרא, אז זה לא משנה אם אשו משום חציו או משום ממונו!</w:t>
      </w:r>
    </w:p>
    <w:p w14:paraId="32F8ED21" w14:textId="28CF0B1D" w:rsidR="00A545FB" w:rsidRDefault="00F21E60" w:rsidP="005E469E">
      <w:pPr>
        <w:rPr>
          <w:rtl/>
        </w:rPr>
      </w:pPr>
      <w:r>
        <w:rPr>
          <w:rFonts w:hint="cs"/>
          <w:rtl/>
        </w:rPr>
        <w:t>תרומת הכרי</w:t>
      </w:r>
      <w:r>
        <w:rPr>
          <w:rStyle w:val="ab"/>
          <w:rtl/>
        </w:rPr>
        <w:footnoteReference w:id="14"/>
      </w:r>
      <w:r>
        <w:rPr>
          <w:rFonts w:hint="cs"/>
          <w:rtl/>
        </w:rPr>
        <w:t xml:space="preserve"> מקשה </w:t>
      </w:r>
      <w:r w:rsidR="00F0383F">
        <w:rPr>
          <w:rFonts w:hint="cs"/>
          <w:rtl/>
        </w:rPr>
        <w:t xml:space="preserve">קושיה נוספת </w:t>
      </w:r>
      <w:r>
        <w:rPr>
          <w:rFonts w:hint="cs"/>
          <w:rtl/>
        </w:rPr>
        <w:t xml:space="preserve">על הקצות ואומר שהנמוקי יוסף מביא </w:t>
      </w:r>
      <w:r w:rsidRPr="00195599">
        <w:rPr>
          <w:rFonts w:hint="cs"/>
          <w:u w:val="single"/>
          <w:rtl/>
        </w:rPr>
        <w:t xml:space="preserve">בשם </w:t>
      </w:r>
      <w:r w:rsidR="000467B0" w:rsidRPr="00195599">
        <w:rPr>
          <w:rFonts w:hint="cs"/>
          <w:u w:val="single"/>
          <w:rtl/>
        </w:rPr>
        <w:t>הרא"ש</w:t>
      </w:r>
      <w:r w:rsidR="000467B0">
        <w:rPr>
          <w:rFonts w:hint="cs"/>
          <w:rtl/>
        </w:rPr>
        <w:t xml:space="preserve"> את </w:t>
      </w:r>
      <w:r w:rsidR="00564FF0">
        <w:rPr>
          <w:rFonts w:hint="cs"/>
          <w:rtl/>
        </w:rPr>
        <w:t>הסברא של</w:t>
      </w:r>
      <w:r w:rsidR="000467B0">
        <w:rPr>
          <w:rFonts w:hint="cs"/>
          <w:rtl/>
        </w:rPr>
        <w:t xml:space="preserve"> תוספות, </w:t>
      </w:r>
      <w:r w:rsidR="000467B0" w:rsidRPr="0093027F">
        <w:rPr>
          <w:rFonts w:hint="cs"/>
          <w:u w:val="single"/>
          <w:rtl/>
        </w:rPr>
        <w:t>שיש חילוק</w:t>
      </w:r>
      <w:r w:rsidR="000467B0">
        <w:rPr>
          <w:rFonts w:hint="cs"/>
          <w:rtl/>
        </w:rPr>
        <w:t xml:space="preserve"> בין זורק חץ לבין זורק כלי</w:t>
      </w:r>
      <w:r>
        <w:rPr>
          <w:rFonts w:hint="cs"/>
          <w:rtl/>
        </w:rPr>
        <w:t xml:space="preserve">, </w:t>
      </w:r>
      <w:r w:rsidR="00E05073">
        <w:rPr>
          <w:rFonts w:hint="cs"/>
          <w:rtl/>
        </w:rPr>
        <w:t>אז למה הקצות מנסה לדייק מדברי הרא"ש שהוא חולק על תוספות?</w:t>
      </w:r>
    </w:p>
    <w:tbl>
      <w:tblPr>
        <w:tblStyle w:val="af5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F28" w14:paraId="16FB2F87" w14:textId="77777777" w:rsidTr="007A5F28">
        <w:tc>
          <w:tcPr>
            <w:tcW w:w="3116" w:type="dxa"/>
          </w:tcPr>
          <w:p w14:paraId="6AD32718" w14:textId="77777777" w:rsidR="007A5F28" w:rsidRDefault="007A5F28" w:rsidP="00A545FB">
            <w:pPr>
              <w:rPr>
                <w:rtl/>
              </w:rPr>
            </w:pPr>
          </w:p>
        </w:tc>
        <w:tc>
          <w:tcPr>
            <w:tcW w:w="3117" w:type="dxa"/>
          </w:tcPr>
          <w:p w14:paraId="418FC63E" w14:textId="4955FDC6" w:rsidR="007A5F28" w:rsidRDefault="007A5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אופן ראשון</w:t>
            </w:r>
          </w:p>
        </w:tc>
        <w:tc>
          <w:tcPr>
            <w:tcW w:w="3117" w:type="dxa"/>
          </w:tcPr>
          <w:p w14:paraId="43B5228C" w14:textId="18D25B9F" w:rsidR="007A5F28" w:rsidRDefault="007A5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אופן שני</w:t>
            </w:r>
          </w:p>
        </w:tc>
      </w:tr>
      <w:tr w:rsidR="007A5F28" w14:paraId="33F8B4E5" w14:textId="77777777" w:rsidTr="007A5F28">
        <w:tc>
          <w:tcPr>
            <w:tcW w:w="3116" w:type="dxa"/>
          </w:tcPr>
          <w:p w14:paraId="3D5AF947" w14:textId="2085F233" w:rsidR="007A5F28" w:rsidRDefault="007A5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בתר מעיקרא</w:t>
            </w:r>
          </w:p>
        </w:tc>
        <w:tc>
          <w:tcPr>
            <w:tcW w:w="3117" w:type="dxa"/>
          </w:tcPr>
          <w:p w14:paraId="6619EB36" w14:textId="571F6A00" w:rsidR="00DD7D94" w:rsidRDefault="00FC7F28" w:rsidP="00CE13F2">
            <w:pPr>
              <w:rPr>
                <w:rtl/>
              </w:rPr>
            </w:pPr>
            <w:r>
              <w:rPr>
                <w:rFonts w:hint="cs"/>
                <w:rtl/>
              </w:rPr>
              <w:t>בגלל שהכלי עומד להישבר הוא נחשב כשבור ולכן הזורק חייב.</w:t>
            </w:r>
          </w:p>
        </w:tc>
        <w:tc>
          <w:tcPr>
            <w:tcW w:w="3117" w:type="dxa"/>
          </w:tcPr>
          <w:p w14:paraId="0B616F55" w14:textId="04FA444B" w:rsidR="007A5F28" w:rsidRDefault="00FC7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הזורק עושה </w:t>
            </w:r>
            <w:r w:rsidRPr="008F53FF">
              <w:rPr>
                <w:rFonts w:hint="cs"/>
                <w:u w:val="single"/>
                <w:rtl/>
              </w:rPr>
              <w:t>מעשה שבירה</w:t>
            </w:r>
            <w:r>
              <w:rPr>
                <w:rFonts w:hint="cs"/>
                <w:rtl/>
              </w:rPr>
              <w:t xml:space="preserve"> </w:t>
            </w:r>
            <w:r w:rsidR="003E68C6">
              <w:rPr>
                <w:rFonts w:hint="cs"/>
                <w:rtl/>
              </w:rPr>
              <w:t>ולכן השבירה עצמה כבר לא נקראת מעשה מזיק.</w:t>
            </w:r>
          </w:p>
        </w:tc>
      </w:tr>
      <w:tr w:rsidR="007A5F28" w14:paraId="46A30AC6" w14:textId="77777777" w:rsidTr="007A5F28">
        <w:tc>
          <w:tcPr>
            <w:tcW w:w="3116" w:type="dxa"/>
          </w:tcPr>
          <w:p w14:paraId="674084B0" w14:textId="58F97B17" w:rsidR="007A5F28" w:rsidRDefault="007A5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בתר תבר מנא</w:t>
            </w:r>
          </w:p>
        </w:tc>
        <w:tc>
          <w:tcPr>
            <w:tcW w:w="3117" w:type="dxa"/>
          </w:tcPr>
          <w:p w14:paraId="312F496D" w14:textId="59BADB7F" w:rsidR="007A5F28" w:rsidRDefault="00FC7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הכלי לא נחשב כשבור עד שהוא נשבר בפועל.</w:t>
            </w:r>
          </w:p>
        </w:tc>
        <w:tc>
          <w:tcPr>
            <w:tcW w:w="3117" w:type="dxa"/>
          </w:tcPr>
          <w:p w14:paraId="7E20AD3D" w14:textId="57A3080D" w:rsidR="007A5F28" w:rsidRDefault="00FC7F28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המעשה שבירה מתבצע רק בשבירה עצמה.</w:t>
            </w:r>
          </w:p>
        </w:tc>
      </w:tr>
      <w:tr w:rsidR="00C30631" w14:paraId="152847DC" w14:textId="77777777" w:rsidTr="007A5F28">
        <w:tc>
          <w:tcPr>
            <w:tcW w:w="3116" w:type="dxa"/>
          </w:tcPr>
          <w:p w14:paraId="39575D70" w14:textId="64ABD98D" w:rsidR="00C30631" w:rsidRDefault="00C30631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מי סובר כך</w:t>
            </w:r>
          </w:p>
        </w:tc>
        <w:tc>
          <w:tcPr>
            <w:tcW w:w="3117" w:type="dxa"/>
          </w:tcPr>
          <w:p w14:paraId="67A8538C" w14:textId="003868D4" w:rsidR="00C30631" w:rsidRDefault="00C30631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הרמב"ן</w:t>
            </w:r>
            <w:r w:rsidR="001D20B3">
              <w:rPr>
                <w:rFonts w:hint="cs"/>
                <w:rtl/>
              </w:rPr>
              <w:t xml:space="preserve">, </w:t>
            </w:r>
            <w:r w:rsidR="00123755">
              <w:rPr>
                <w:rFonts w:hint="cs"/>
                <w:rtl/>
              </w:rPr>
              <w:t>קצות החושן</w:t>
            </w:r>
          </w:p>
        </w:tc>
        <w:tc>
          <w:tcPr>
            <w:tcW w:w="3117" w:type="dxa"/>
          </w:tcPr>
          <w:p w14:paraId="3F9A1519" w14:textId="2072A751" w:rsidR="00C30631" w:rsidRDefault="001D20B3" w:rsidP="00A545FB">
            <w:pPr>
              <w:rPr>
                <w:rtl/>
              </w:rPr>
            </w:pPr>
            <w:r>
              <w:rPr>
                <w:rFonts w:hint="cs"/>
                <w:rtl/>
              </w:rPr>
              <w:t>רש"י,</w:t>
            </w:r>
            <w:r w:rsidR="001A2AC1">
              <w:rPr>
                <w:rFonts w:hint="cs"/>
                <w:rtl/>
              </w:rPr>
              <w:t xml:space="preserve"> תוס</w:t>
            </w:r>
            <w:r w:rsidR="00522BF9">
              <w:rPr>
                <w:rFonts w:hint="cs"/>
                <w:rtl/>
              </w:rPr>
              <w:t>פות</w:t>
            </w:r>
            <w:r w:rsidR="009971AF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תרומת הכרי</w:t>
            </w:r>
          </w:p>
        </w:tc>
      </w:tr>
    </w:tbl>
    <w:p w14:paraId="45A7EA98" w14:textId="77777777" w:rsidR="0051315C" w:rsidRPr="00522BF9" w:rsidRDefault="0051315C" w:rsidP="00A545FB">
      <w:pPr>
        <w:rPr>
          <w:rtl/>
        </w:rPr>
      </w:pPr>
    </w:p>
    <w:p w14:paraId="68CFF808" w14:textId="6F7458E5" w:rsidR="00C21062" w:rsidRDefault="00C21062" w:rsidP="00A545FB">
      <w:pPr>
        <w:rPr>
          <w:rtl/>
        </w:rPr>
      </w:pPr>
      <w:r>
        <w:rPr>
          <w:rFonts w:hint="cs"/>
          <w:rtl/>
        </w:rPr>
        <w:t xml:space="preserve">לכן לפי תוספות זה תלוי אם האדם עשה מעשה מזיק בכלי, ובחץ השני יהיה חייב. </w:t>
      </w:r>
      <w:r w:rsidR="00522BF9">
        <w:rPr>
          <w:rFonts w:hint="cs"/>
          <w:rtl/>
        </w:rPr>
        <w:t>ו</w:t>
      </w:r>
      <w:r>
        <w:rPr>
          <w:rFonts w:hint="cs"/>
          <w:rtl/>
        </w:rPr>
        <w:t>אי אפשר להקשות מזריקה של תינו</w:t>
      </w:r>
      <w:r w:rsidR="00E92815">
        <w:rPr>
          <w:rFonts w:hint="cs"/>
          <w:rtl/>
        </w:rPr>
        <w:t>ק, כי אין דבר כזה "מעשה רוצח"</w:t>
      </w:r>
      <w:r w:rsidR="00DD0F4F">
        <w:rPr>
          <w:rFonts w:hint="cs"/>
          <w:rtl/>
        </w:rPr>
        <w:t>.</w:t>
      </w:r>
    </w:p>
    <w:p w14:paraId="21A2D0ED" w14:textId="3DF4CBC9" w:rsidR="009971AF" w:rsidRDefault="00522BF9" w:rsidP="009971AF">
      <w:pPr>
        <w:rPr>
          <w:rtl/>
        </w:rPr>
      </w:pPr>
      <w:r>
        <w:rPr>
          <w:rFonts w:hint="cs"/>
          <w:rtl/>
        </w:rPr>
        <w:t xml:space="preserve">לפי ההבנה השנייה, </w:t>
      </w:r>
      <w:r w:rsidR="00DD0F4F">
        <w:rPr>
          <w:rFonts w:hint="cs"/>
          <w:rtl/>
        </w:rPr>
        <w:t xml:space="preserve">בתר מעיקרא </w:t>
      </w:r>
      <w:r w:rsidR="00F01C99">
        <w:rPr>
          <w:rFonts w:hint="cs"/>
          <w:rtl/>
        </w:rPr>
        <w:t>ומנא תבירא תבר</w:t>
      </w:r>
      <w:r w:rsidR="00DD0F4F">
        <w:rPr>
          <w:rFonts w:hint="cs"/>
          <w:rtl/>
        </w:rPr>
        <w:t xml:space="preserve"> זה שני דינים שונים.</w:t>
      </w:r>
      <w:r w:rsidR="00BC63DD">
        <w:rPr>
          <w:rFonts w:hint="cs"/>
          <w:rtl/>
        </w:rPr>
        <w:t xml:space="preserve"> לכן בכלי המתגלגל </w:t>
      </w:r>
      <w:r>
        <w:rPr>
          <w:rFonts w:hint="cs"/>
          <w:rtl/>
        </w:rPr>
        <w:t xml:space="preserve">(בשאלת רבא) </w:t>
      </w:r>
      <w:r w:rsidR="00BC63DD">
        <w:rPr>
          <w:rFonts w:hint="cs"/>
          <w:rtl/>
        </w:rPr>
        <w:t>החיוב הוא בתר מעיקרא למרות שאין "ברי היזקא" (הנזק לא מוכרח)</w:t>
      </w:r>
      <w:r w:rsidR="009971AF">
        <w:rPr>
          <w:rFonts w:hint="cs"/>
          <w:rtl/>
        </w:rPr>
        <w:t>.</w:t>
      </w:r>
    </w:p>
    <w:p w14:paraId="0EAB970C" w14:textId="0BED33A2" w:rsidR="009971AF" w:rsidRDefault="009971AF" w:rsidP="009971AF">
      <w:pPr>
        <w:rPr>
          <w:rtl/>
        </w:rPr>
      </w:pPr>
      <w:r>
        <w:rPr>
          <w:rFonts w:hint="cs"/>
          <w:rtl/>
        </w:rPr>
        <w:t>מנא תבירא תבר זה רק כאשר ברי היזקא, אבל זה לא תלוי בשאלה האם בתר מעיקרא.</w:t>
      </w:r>
    </w:p>
    <w:p w14:paraId="63E48903" w14:textId="0CEA344C" w:rsidR="002160C3" w:rsidRDefault="008F36F0" w:rsidP="00BC63DD">
      <w:pPr>
        <w:rPr>
          <w:rtl/>
        </w:rPr>
      </w:pPr>
      <w:r>
        <w:rPr>
          <w:rFonts w:hint="cs"/>
          <w:rtl/>
        </w:rPr>
        <w:t>לגבי הסתירה בדברי הרא"ש, ניתן ליישב</w:t>
      </w:r>
      <w:r w:rsidR="00522BF9">
        <w:rPr>
          <w:rStyle w:val="ab"/>
          <w:rtl/>
        </w:rPr>
        <w:footnoteReference w:id="15"/>
      </w:r>
      <w:r>
        <w:rPr>
          <w:rFonts w:hint="cs"/>
          <w:rtl/>
        </w:rPr>
        <w:t xml:space="preserve"> שהוא אכן מסכים עם תוספות שיש חילוק, אבל יש חידוש מהפסוק, שהגדר של "שם המזיק" בשן ורגל תלוי במקום הנזק עצמו.</w:t>
      </w:r>
    </w:p>
    <w:p w14:paraId="7F263B6D" w14:textId="153973A0" w:rsidR="008F36F0" w:rsidRDefault="00DF2170" w:rsidP="00BC63DD">
      <w:pPr>
        <w:rPr>
          <w:rtl/>
        </w:rPr>
      </w:pPr>
      <w:r w:rsidRPr="00DF2170">
        <w:rPr>
          <w:rtl/>
        </w:rPr>
        <w:t>רש"י אומר על מימרת רבה "</w:t>
      </w:r>
      <w:r w:rsidRPr="00CE13F2">
        <w:rPr>
          <w:u w:val="single"/>
          <w:rtl/>
        </w:rPr>
        <w:t>הואיל וסופו לישבר</w:t>
      </w:r>
      <w:r w:rsidRPr="00DF2170">
        <w:rPr>
          <w:rtl/>
        </w:rPr>
        <w:t xml:space="preserve"> לכשינוח כמי ששברו הוא דמי". בדברי רבא רש"י מפרש אחרת, "</w:t>
      </w:r>
      <w:r w:rsidRPr="00CE13F2">
        <w:rPr>
          <w:u w:val="single"/>
          <w:rtl/>
        </w:rPr>
        <w:t>בתר מעיקרא</w:t>
      </w:r>
      <w:r w:rsidRPr="00DF2170">
        <w:rPr>
          <w:rtl/>
        </w:rPr>
        <w:t xml:space="preserve"> – שדחפתו ובגופה תבר מנא". אצל רבה דנים </w:t>
      </w:r>
      <w:r w:rsidRPr="00CE13F2">
        <w:rPr>
          <w:rtl/>
        </w:rPr>
        <w:t>במנא תבירא תבר</w:t>
      </w:r>
      <w:r w:rsidRPr="00DF2170">
        <w:rPr>
          <w:rtl/>
        </w:rPr>
        <w:t>, ואצל רבא השאלה היא על בתר מעיקרא או בתר תבר מנא, מתי יש שם מעשה מזיק, לא על עומד לישבר או לא.</w:t>
      </w:r>
    </w:p>
    <w:p w14:paraId="581581A3" w14:textId="639F7EC6" w:rsidR="00BF4D95" w:rsidRPr="002160C3" w:rsidRDefault="00BF4D95" w:rsidP="00522BF9">
      <w:pPr>
        <w:rPr>
          <w:rtl/>
        </w:rPr>
      </w:pPr>
      <w:r>
        <w:rPr>
          <w:rtl/>
        </w:rPr>
        <w:t>שלטי הגיבורים מביא את שאלת הגמרא על התגלגל האוכל</w:t>
      </w:r>
      <w:r w:rsidR="00CE13F2">
        <w:rPr>
          <w:rFonts w:hint="cs"/>
          <w:rtl/>
        </w:rPr>
        <w:t xml:space="preserve"> בשבת</w:t>
      </w:r>
      <w:r>
        <w:rPr>
          <w:rtl/>
        </w:rPr>
        <w:t xml:space="preserve"> והגיע מרה"י לרה"ר, הרא"ש סובר שבתר מעיקרא זה רק במנא תבירא תבר ולא בלהחשיב את הדבר למונח ברה"ר. הרא"ש לשיטתו, </w:t>
      </w:r>
      <w:r w:rsidR="00F951E4">
        <w:rPr>
          <w:rFonts w:hint="cs"/>
          <w:rtl/>
        </w:rPr>
        <w:t>"</w:t>
      </w:r>
      <w:r>
        <w:rPr>
          <w:rtl/>
        </w:rPr>
        <w:t>עומד להישבר כש</w:t>
      </w:r>
      <w:r>
        <w:rPr>
          <w:rFonts w:hint="cs"/>
          <w:rtl/>
        </w:rPr>
        <w:t>ָ</w:t>
      </w:r>
      <w:r>
        <w:rPr>
          <w:rtl/>
        </w:rPr>
        <w:t>בו</w:t>
      </w:r>
      <w:r>
        <w:rPr>
          <w:rFonts w:hint="cs"/>
          <w:rtl/>
        </w:rPr>
        <w:t>ּ</w:t>
      </w:r>
      <w:r>
        <w:rPr>
          <w:rtl/>
        </w:rPr>
        <w:t>ר דמי</w:t>
      </w:r>
      <w:r w:rsidR="00F951E4">
        <w:rPr>
          <w:rFonts w:hint="cs"/>
          <w:rtl/>
        </w:rPr>
        <w:t>"</w:t>
      </w:r>
      <w:r>
        <w:rPr>
          <w:rtl/>
        </w:rPr>
        <w:t xml:space="preserve"> זה רק בגלל בתר מעיקרא, רק בגלל שנעשה מעשה מזיק קודם. אין סיבה שנאמר את זה בהתגלגל האוכל לרה"ר.</w:t>
      </w:r>
    </w:p>
    <w:sectPr w:rsidR="00BF4D95" w:rsidRPr="002160C3" w:rsidSect="00C461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353D" w14:textId="77777777" w:rsidR="00D53F93" w:rsidRDefault="00D53F93" w:rsidP="00CD34AC">
      <w:pPr>
        <w:spacing w:after="0"/>
      </w:pPr>
      <w:r>
        <w:separator/>
      </w:r>
    </w:p>
  </w:endnote>
  <w:endnote w:type="continuationSeparator" w:id="0">
    <w:p w14:paraId="06E162C6" w14:textId="77777777" w:rsidR="00D53F93" w:rsidRDefault="00D53F93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44F3" w14:textId="77777777" w:rsidR="00CD34AC" w:rsidRDefault="00CD34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062B" w14:textId="77777777" w:rsidR="00CD34AC" w:rsidRDefault="00CD34A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35E5" w14:textId="77777777" w:rsidR="00CD34AC" w:rsidRDefault="00CD3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4878" w14:textId="77777777" w:rsidR="00D53F93" w:rsidRDefault="00D53F93" w:rsidP="00CD34AC">
      <w:pPr>
        <w:spacing w:after="0"/>
      </w:pPr>
      <w:r>
        <w:separator/>
      </w:r>
    </w:p>
  </w:footnote>
  <w:footnote w:type="continuationSeparator" w:id="0">
    <w:p w14:paraId="499FBB34" w14:textId="77777777" w:rsidR="00D53F93" w:rsidRDefault="00D53F93" w:rsidP="00CD34AC">
      <w:pPr>
        <w:spacing w:after="0"/>
      </w:pPr>
      <w:r>
        <w:continuationSeparator/>
      </w:r>
    </w:p>
  </w:footnote>
  <w:footnote w:id="1">
    <w:p w14:paraId="66AF4466" w14:textId="6A65E398" w:rsidR="00297E07" w:rsidRDefault="00297E07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יז:</w:t>
      </w:r>
    </w:p>
  </w:footnote>
  <w:footnote w:id="2">
    <w:p w14:paraId="2D1543E5" w14:textId="1CD273E1" w:rsidR="00902F34" w:rsidRDefault="00902F34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שם ד"ה פטור</w:t>
      </w:r>
    </w:p>
  </w:footnote>
  <w:footnote w:id="3">
    <w:p w14:paraId="220598E2" w14:textId="50E301C3" w:rsidR="006F4465" w:rsidRDefault="006F4465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מלחמת ה' לקמן כו: (עמ' כט במהדורת עוז והדר) ד"ה ועוד אמר רבה</w:t>
      </w:r>
    </w:p>
  </w:footnote>
  <w:footnote w:id="4">
    <w:p w14:paraId="6E110209" w14:textId="6003EE9F" w:rsidR="003F6B39" w:rsidRDefault="003F6B39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 w:rsidR="00D94032">
        <w:rPr>
          <w:rFonts w:hint="cs"/>
          <w:rtl/>
        </w:rPr>
        <w:t xml:space="preserve">מובא ברשב"א </w:t>
      </w:r>
      <w:r w:rsidR="00CF1A04">
        <w:rPr>
          <w:rFonts w:hint="cs"/>
          <w:rtl/>
        </w:rPr>
        <w:t>כו:</w:t>
      </w:r>
      <w:r w:rsidR="00D94032">
        <w:rPr>
          <w:rFonts w:hint="cs"/>
          <w:rtl/>
        </w:rPr>
        <w:t xml:space="preserve"> ד"ה ואמר רבה</w:t>
      </w:r>
    </w:p>
  </w:footnote>
  <w:footnote w:id="5">
    <w:p w14:paraId="4517C83A" w14:textId="15DEE4CE" w:rsidR="005A0BEB" w:rsidRDefault="005A0BEB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 w:rsidR="001E0A4E">
        <w:rPr>
          <w:rFonts w:hint="cs"/>
          <w:rtl/>
        </w:rPr>
        <w:t>כו:</w:t>
      </w:r>
    </w:p>
  </w:footnote>
  <w:footnote w:id="6">
    <w:p w14:paraId="507034D6" w14:textId="13242E45" w:rsidR="005A0BEB" w:rsidRDefault="005A0BEB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שם</w:t>
      </w:r>
    </w:p>
  </w:footnote>
  <w:footnote w:id="7">
    <w:p w14:paraId="4F490EAA" w14:textId="319EDB11" w:rsidR="00921F1D" w:rsidRDefault="00921F1D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יז: ד"ה זרק כלי מראש הגג</w:t>
      </w:r>
    </w:p>
  </w:footnote>
  <w:footnote w:id="8">
    <w:p w14:paraId="2EF7C306" w14:textId="0311E980" w:rsidR="009667D6" w:rsidRDefault="009667D6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סימן ש"צ סק"א</w:t>
      </w:r>
    </w:p>
  </w:footnote>
  <w:footnote w:id="9">
    <w:p w14:paraId="20A17627" w14:textId="0A84E548" w:rsidR="00BE61C0" w:rsidRDefault="00BE61C0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פרק ב' סימן ב'</w:t>
      </w:r>
    </w:p>
  </w:footnote>
  <w:footnote w:id="10">
    <w:p w14:paraId="24D05980" w14:textId="52C17C18" w:rsidR="002102D9" w:rsidRPr="002102D9" w:rsidRDefault="002102D9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"ובער בשדה </w:t>
      </w:r>
      <w:r>
        <w:rPr>
          <w:rFonts w:hint="cs"/>
          <w:u w:val="single"/>
          <w:rtl/>
        </w:rPr>
        <w:t>אחר</w:t>
      </w:r>
      <w:r>
        <w:rPr>
          <w:rFonts w:hint="cs"/>
          <w:rtl/>
        </w:rPr>
        <w:t>"</w:t>
      </w:r>
      <w:r w:rsidR="008F1D29">
        <w:rPr>
          <w:rFonts w:hint="cs"/>
          <w:rtl/>
        </w:rPr>
        <w:t xml:space="preserve"> </w:t>
      </w:r>
      <w:r w:rsidR="008F1D29">
        <w:rPr>
          <w:rtl/>
        </w:rPr>
        <w:t>–</w:t>
      </w:r>
      <w:r w:rsidR="008F1D29">
        <w:rPr>
          <w:rFonts w:hint="cs"/>
          <w:rtl/>
        </w:rPr>
        <w:t xml:space="preserve"> הדין נקבע לפי המקום בו נעשה הנזק</w:t>
      </w:r>
    </w:p>
  </w:footnote>
  <w:footnote w:id="11">
    <w:p w14:paraId="2D150F5B" w14:textId="20060D0D" w:rsidR="00B21F8B" w:rsidRDefault="00B21F8B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לעיל י.</w:t>
      </w:r>
      <w:r w:rsidR="00E740BF">
        <w:rPr>
          <w:rFonts w:hint="cs"/>
          <w:rtl/>
        </w:rPr>
        <w:t>:</w:t>
      </w:r>
    </w:p>
  </w:footnote>
  <w:footnote w:id="12">
    <w:p w14:paraId="105F400A" w14:textId="16A3635C" w:rsidR="0035201B" w:rsidRDefault="0035201B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סימן תי"ח סעיף י'</w:t>
      </w:r>
      <w:r w:rsidR="002750FC">
        <w:rPr>
          <w:rFonts w:hint="cs"/>
          <w:rtl/>
        </w:rPr>
        <w:t xml:space="preserve"> (הטור הוא בנו של הרא"ש)</w:t>
      </w:r>
    </w:p>
  </w:footnote>
  <w:footnote w:id="13">
    <w:p w14:paraId="7491AD19" w14:textId="370D019E" w:rsidR="00BD359A" w:rsidRDefault="00BD359A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(אין לזה תשובה בשיעור זה)</w:t>
      </w:r>
    </w:p>
  </w:footnote>
  <w:footnote w:id="14">
    <w:p w14:paraId="286772B9" w14:textId="7BD9292E" w:rsidR="00F21E60" w:rsidRDefault="00F21E60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סימן שצ"ב ד"ה אך בעניותי, וד"ה ודע שבדברי התוס'</w:t>
      </w:r>
      <w:r w:rsidR="002750FC">
        <w:rPr>
          <w:rFonts w:hint="cs"/>
          <w:rtl/>
        </w:rPr>
        <w:t xml:space="preserve"> (אחיו של הקצות)</w:t>
      </w:r>
    </w:p>
  </w:footnote>
  <w:footnote w:id="15">
    <w:p w14:paraId="0FE500C8" w14:textId="1A1C1BA6" w:rsidR="00522BF9" w:rsidRDefault="00522BF9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לפי תרומת הכרי, אבל </w:t>
      </w:r>
      <w:r w:rsidR="00394F4C">
        <w:rPr>
          <w:rFonts w:hint="cs"/>
          <w:rtl/>
        </w:rPr>
        <w:t>עדיין נשארת קושיה על הקצות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B359" w14:textId="77777777" w:rsidR="00CD34AC" w:rsidRDefault="00CD34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286C" w14:textId="410203F2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522BF9">
      <w:rPr>
        <w:rFonts w:ascii="Times New Roman" w:hAnsi="Times New Roman" w:cs="Times New Roman" w:hint="cs"/>
        <w:noProof/>
        <w:rtl/>
      </w:rPr>
      <w:t>‏</w:t>
    </w:r>
    <w:r w:rsidR="00522BF9">
      <w:rPr>
        <w:rFonts w:hint="cs"/>
        <w:noProof/>
        <w:rtl/>
      </w:rPr>
      <w:t>כ</w:t>
    </w:r>
    <w:r w:rsidR="00522BF9">
      <w:rPr>
        <w:noProof/>
        <w:rtl/>
      </w:rPr>
      <w:t>"</w:t>
    </w:r>
    <w:r w:rsidR="00522BF9">
      <w:rPr>
        <w:rFonts w:hint="cs"/>
        <w:noProof/>
        <w:rtl/>
      </w:rPr>
      <w:t>ב</w:t>
    </w:r>
    <w:r w:rsidR="00522BF9">
      <w:rPr>
        <w:noProof/>
        <w:rtl/>
      </w:rPr>
      <w:t xml:space="preserve"> </w:t>
    </w:r>
    <w:r w:rsidR="00522BF9">
      <w:rPr>
        <w:rFonts w:hint="cs"/>
        <w:noProof/>
        <w:rtl/>
      </w:rPr>
      <w:t>אדר</w:t>
    </w:r>
    <w:r w:rsidR="00522BF9">
      <w:rPr>
        <w:noProof/>
        <w:rtl/>
      </w:rPr>
      <w:t xml:space="preserve"> </w:t>
    </w:r>
    <w:r w:rsidR="00522BF9">
      <w:rPr>
        <w:rFonts w:hint="cs"/>
        <w:noProof/>
        <w:rtl/>
      </w:rPr>
      <w:t>ב</w:t>
    </w:r>
    <w:r w:rsidR="00522BF9">
      <w:rPr>
        <w:noProof/>
        <w:rtl/>
      </w:rPr>
      <w:t xml:space="preserve"> </w:t>
    </w:r>
    <w:r w:rsidR="00522BF9">
      <w:rPr>
        <w:rFonts w:hint="cs"/>
        <w:noProof/>
        <w:rtl/>
      </w:rPr>
      <w:t>תשפ</w:t>
    </w:r>
    <w:r w:rsidR="00522BF9">
      <w:rPr>
        <w:noProof/>
        <w:rtl/>
      </w:rPr>
      <w:t>"</w:t>
    </w:r>
    <w:r w:rsidR="00522BF9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DA1F" w14:textId="77777777" w:rsidR="00CD34AC" w:rsidRDefault="00CD34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955EB"/>
    <w:multiLevelType w:val="hybridMultilevel"/>
    <w:tmpl w:val="FF842B40"/>
    <w:lvl w:ilvl="0" w:tplc="8EA274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77"/>
    <w:rsid w:val="0001336A"/>
    <w:rsid w:val="00023866"/>
    <w:rsid w:val="00023A28"/>
    <w:rsid w:val="000467B0"/>
    <w:rsid w:val="00053478"/>
    <w:rsid w:val="000B7832"/>
    <w:rsid w:val="000C111F"/>
    <w:rsid w:val="000E5B88"/>
    <w:rsid w:val="000F616C"/>
    <w:rsid w:val="00123755"/>
    <w:rsid w:val="00141054"/>
    <w:rsid w:val="00147567"/>
    <w:rsid w:val="001509C2"/>
    <w:rsid w:val="001523C0"/>
    <w:rsid w:val="001567BF"/>
    <w:rsid w:val="00195599"/>
    <w:rsid w:val="001A2AC1"/>
    <w:rsid w:val="001D20B3"/>
    <w:rsid w:val="001E0A4E"/>
    <w:rsid w:val="001E2EE7"/>
    <w:rsid w:val="001E5BDA"/>
    <w:rsid w:val="001F3942"/>
    <w:rsid w:val="002102D9"/>
    <w:rsid w:val="002160C3"/>
    <w:rsid w:val="00242DC1"/>
    <w:rsid w:val="002477EB"/>
    <w:rsid w:val="00264875"/>
    <w:rsid w:val="002650EF"/>
    <w:rsid w:val="002750FC"/>
    <w:rsid w:val="00297E07"/>
    <w:rsid w:val="002A502A"/>
    <w:rsid w:val="002C40C0"/>
    <w:rsid w:val="002F2CCF"/>
    <w:rsid w:val="00301A60"/>
    <w:rsid w:val="00312D14"/>
    <w:rsid w:val="00323432"/>
    <w:rsid w:val="00334E8E"/>
    <w:rsid w:val="00345EB8"/>
    <w:rsid w:val="0035201B"/>
    <w:rsid w:val="00394F4C"/>
    <w:rsid w:val="003E68C6"/>
    <w:rsid w:val="003F6B39"/>
    <w:rsid w:val="00464F35"/>
    <w:rsid w:val="004875C1"/>
    <w:rsid w:val="0049562B"/>
    <w:rsid w:val="004C55F7"/>
    <w:rsid w:val="004E2C17"/>
    <w:rsid w:val="004E5553"/>
    <w:rsid w:val="004E6DA3"/>
    <w:rsid w:val="0051315C"/>
    <w:rsid w:val="00522BF9"/>
    <w:rsid w:val="00564FF0"/>
    <w:rsid w:val="0058152F"/>
    <w:rsid w:val="00591D8E"/>
    <w:rsid w:val="005A0BEB"/>
    <w:rsid w:val="005B3A96"/>
    <w:rsid w:val="005B3DE0"/>
    <w:rsid w:val="005B549A"/>
    <w:rsid w:val="005C68AB"/>
    <w:rsid w:val="005D78B9"/>
    <w:rsid w:val="005E469E"/>
    <w:rsid w:val="006140F2"/>
    <w:rsid w:val="006856EA"/>
    <w:rsid w:val="00696165"/>
    <w:rsid w:val="006A5AEA"/>
    <w:rsid w:val="006F31E6"/>
    <w:rsid w:val="006F4465"/>
    <w:rsid w:val="00705375"/>
    <w:rsid w:val="0072639B"/>
    <w:rsid w:val="00734E01"/>
    <w:rsid w:val="007845E6"/>
    <w:rsid w:val="007A5F28"/>
    <w:rsid w:val="007C6042"/>
    <w:rsid w:val="007E73B2"/>
    <w:rsid w:val="0082319A"/>
    <w:rsid w:val="008313BD"/>
    <w:rsid w:val="0085310E"/>
    <w:rsid w:val="008767CF"/>
    <w:rsid w:val="008A48E4"/>
    <w:rsid w:val="008F1D29"/>
    <w:rsid w:val="008F36F0"/>
    <w:rsid w:val="008F53FF"/>
    <w:rsid w:val="008F5B0B"/>
    <w:rsid w:val="00902F34"/>
    <w:rsid w:val="00921F1D"/>
    <w:rsid w:val="0093027F"/>
    <w:rsid w:val="00965775"/>
    <w:rsid w:val="009667D6"/>
    <w:rsid w:val="00971C95"/>
    <w:rsid w:val="009971AF"/>
    <w:rsid w:val="009E3F02"/>
    <w:rsid w:val="00A03308"/>
    <w:rsid w:val="00A545FB"/>
    <w:rsid w:val="00A71461"/>
    <w:rsid w:val="00AA714F"/>
    <w:rsid w:val="00AB136A"/>
    <w:rsid w:val="00AB5DAB"/>
    <w:rsid w:val="00AF2D3E"/>
    <w:rsid w:val="00B21F8B"/>
    <w:rsid w:val="00B277D7"/>
    <w:rsid w:val="00B3202C"/>
    <w:rsid w:val="00B320D4"/>
    <w:rsid w:val="00B40C1F"/>
    <w:rsid w:val="00BC63DD"/>
    <w:rsid w:val="00BD359A"/>
    <w:rsid w:val="00BE61C0"/>
    <w:rsid w:val="00BE6DF8"/>
    <w:rsid w:val="00BF4D95"/>
    <w:rsid w:val="00C21062"/>
    <w:rsid w:val="00C30631"/>
    <w:rsid w:val="00C34C90"/>
    <w:rsid w:val="00C354D5"/>
    <w:rsid w:val="00C461A6"/>
    <w:rsid w:val="00C7796A"/>
    <w:rsid w:val="00CB40F4"/>
    <w:rsid w:val="00CC656C"/>
    <w:rsid w:val="00CD34AC"/>
    <w:rsid w:val="00CE13F2"/>
    <w:rsid w:val="00CF1A04"/>
    <w:rsid w:val="00D24109"/>
    <w:rsid w:val="00D3477E"/>
    <w:rsid w:val="00D45FFB"/>
    <w:rsid w:val="00D53F93"/>
    <w:rsid w:val="00D94032"/>
    <w:rsid w:val="00DA78CD"/>
    <w:rsid w:val="00DB401A"/>
    <w:rsid w:val="00DD0F4F"/>
    <w:rsid w:val="00DD7D94"/>
    <w:rsid w:val="00DE251B"/>
    <w:rsid w:val="00DF2170"/>
    <w:rsid w:val="00E05073"/>
    <w:rsid w:val="00E330B1"/>
    <w:rsid w:val="00E4768E"/>
    <w:rsid w:val="00E60689"/>
    <w:rsid w:val="00E66EF8"/>
    <w:rsid w:val="00E740BF"/>
    <w:rsid w:val="00E923F8"/>
    <w:rsid w:val="00E92815"/>
    <w:rsid w:val="00EE3077"/>
    <w:rsid w:val="00EF0B95"/>
    <w:rsid w:val="00F01C99"/>
    <w:rsid w:val="00F0383F"/>
    <w:rsid w:val="00F21E60"/>
    <w:rsid w:val="00F25DF7"/>
    <w:rsid w:val="00F43371"/>
    <w:rsid w:val="00F951E4"/>
    <w:rsid w:val="00FB0FBD"/>
    <w:rsid w:val="00FC7F28"/>
    <w:rsid w:val="00F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5276"/>
  <w15:chartTrackingRefBased/>
  <w15:docId w15:val="{B7F0FF92-A75A-4376-ADF4-CE379A73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2F2CCF"/>
    <w:rPr>
      <w:rFonts w:cs="Guttman Keren"/>
      <w:sz w:val="20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  <w:style w:type="paragraph" w:styleId="af4">
    <w:name w:val="List Paragraph"/>
    <w:basedOn w:val="a"/>
    <w:uiPriority w:val="34"/>
    <w:qFormat/>
    <w:rsid w:val="0001336A"/>
    <w:pPr>
      <w:ind w:left="720"/>
      <w:contextualSpacing/>
    </w:pPr>
  </w:style>
  <w:style w:type="table" w:styleId="af5">
    <w:name w:val="Table Grid"/>
    <w:basedOn w:val="a1"/>
    <w:uiPriority w:val="39"/>
    <w:rsid w:val="00DB40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652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111</cp:revision>
  <cp:lastPrinted>2022-03-23T21:03:00Z</cp:lastPrinted>
  <dcterms:created xsi:type="dcterms:W3CDTF">2022-03-23T10:04:00Z</dcterms:created>
  <dcterms:modified xsi:type="dcterms:W3CDTF">2022-03-24T23:22:00Z</dcterms:modified>
</cp:coreProperties>
</file>