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47772" w14:textId="3021C2F6" w:rsidR="00A71461" w:rsidRDefault="0009455F" w:rsidP="0009455F">
      <w:pPr>
        <w:pStyle w:val="1"/>
        <w:rPr>
          <w:rtl/>
        </w:rPr>
      </w:pPr>
      <w:r>
        <w:rPr>
          <w:rFonts w:hint="cs"/>
          <w:rtl/>
        </w:rPr>
        <w:t>גנב טלה ונעשה איל</w:t>
      </w:r>
    </w:p>
    <w:p w14:paraId="2CA3ED83" w14:textId="3B89EBF4" w:rsidR="0009455F" w:rsidRPr="00AF0183" w:rsidRDefault="0009455F" w:rsidP="0009455F">
      <w:pPr>
        <w:rPr>
          <w:rtl/>
        </w:rPr>
      </w:pPr>
      <w:r>
        <w:rPr>
          <w:rFonts w:hint="cs"/>
          <w:rtl/>
        </w:rPr>
        <w:t>"</w:t>
      </w:r>
      <w:r w:rsidRPr="00AF0183">
        <w:rPr>
          <w:rtl/>
        </w:rPr>
        <w:t>אמר רבי אילעא גנב טלה ונעשה איל עגל ונעשה שור נעשה שינוי בידו וקנאו טבח ומכר</w:t>
      </w:r>
      <w:r w:rsidR="00736ABF">
        <w:rPr>
          <w:rFonts w:hint="cs"/>
          <w:rtl/>
        </w:rPr>
        <w:t xml:space="preserve"> (להלן: טו"מ)</w:t>
      </w:r>
      <w:r w:rsidRPr="00AF0183">
        <w:rPr>
          <w:rtl/>
        </w:rPr>
        <w:t xml:space="preserve"> שלו הוא טובח שלו הוא מוכר</w:t>
      </w:r>
      <w:r>
        <w:rPr>
          <w:rFonts w:hint="cs"/>
          <w:rtl/>
        </w:rPr>
        <w:t>"</w:t>
      </w:r>
      <w:r>
        <w:rPr>
          <w:rStyle w:val="ab"/>
          <w:rtl/>
        </w:rPr>
        <w:footnoteReference w:id="1"/>
      </w:r>
      <w:r>
        <w:rPr>
          <w:rFonts w:hint="cs"/>
          <w:rtl/>
        </w:rPr>
        <w:t xml:space="preserve"> </w:t>
      </w:r>
      <w:r>
        <w:rPr>
          <w:rtl/>
        </w:rPr>
        <w:t>–</w:t>
      </w:r>
      <w:r>
        <w:rPr>
          <w:rFonts w:hint="cs"/>
          <w:rtl/>
        </w:rPr>
        <w:t xml:space="preserve"> ולכן פטור מתשלומי </w:t>
      </w:r>
      <w:r w:rsidR="00DA1F0B">
        <w:rPr>
          <w:rFonts w:hint="cs"/>
          <w:rtl/>
        </w:rPr>
        <w:t>ארבעה וחמישה (להלן: דו"ה)</w:t>
      </w:r>
      <w:r>
        <w:rPr>
          <w:rFonts w:hint="cs"/>
          <w:rtl/>
        </w:rPr>
        <w:t>.</w:t>
      </w:r>
    </w:p>
    <w:p w14:paraId="1011155D" w14:textId="240F6A44" w:rsidR="0009455F" w:rsidRDefault="0009455F" w:rsidP="0009455F">
      <w:pPr>
        <w:ind w:left="720" w:hanging="720"/>
        <w:rPr>
          <w:rtl/>
        </w:rPr>
      </w:pPr>
      <w:r w:rsidRPr="00AF0183">
        <w:rPr>
          <w:rFonts w:hint="cs"/>
          <w:rtl/>
        </w:rPr>
        <w:t xml:space="preserve">רש"י: </w:t>
      </w:r>
      <w:r>
        <w:rPr>
          <w:rtl/>
        </w:rPr>
        <w:tab/>
      </w:r>
      <w:r w:rsidRPr="00AF0183">
        <w:rPr>
          <w:b/>
          <w:bCs/>
          <w:rtl/>
        </w:rPr>
        <w:t>נעשה שינוי בידו וקנאו</w:t>
      </w:r>
      <w:r>
        <w:rPr>
          <w:rFonts w:ascii="Cambria" w:hAnsi="Cambria" w:cs="Cambria" w:hint="cs"/>
          <w:rtl/>
        </w:rPr>
        <w:t xml:space="preserve"> – </w:t>
      </w:r>
      <w:r w:rsidRPr="00AF0183">
        <w:rPr>
          <w:rtl/>
        </w:rPr>
        <w:t xml:space="preserve">בשינוי </w:t>
      </w:r>
      <w:r w:rsidRPr="0009455F">
        <w:rPr>
          <w:rtl/>
        </w:rPr>
        <w:t xml:space="preserve">להא מילתא </w:t>
      </w:r>
      <w:r w:rsidRPr="00AF0183">
        <w:rPr>
          <w:rtl/>
        </w:rPr>
        <w:t xml:space="preserve">דאם </w:t>
      </w:r>
      <w:r w:rsidR="00736ABF">
        <w:rPr>
          <w:rFonts w:hint="cs"/>
          <w:rtl/>
        </w:rPr>
        <w:t>טו"מ</w:t>
      </w:r>
      <w:r w:rsidRPr="00AF0183">
        <w:rPr>
          <w:rtl/>
        </w:rPr>
        <w:t xml:space="preserve"> שלו הוא טובח וכו' </w:t>
      </w:r>
      <w:r w:rsidRPr="00AE703B">
        <w:rPr>
          <w:u w:val="single"/>
          <w:rtl/>
        </w:rPr>
        <w:t xml:space="preserve">ופטור </w:t>
      </w:r>
      <w:r w:rsidR="0086092B">
        <w:rPr>
          <w:rFonts w:hint="cs"/>
          <w:u w:val="single"/>
          <w:rtl/>
        </w:rPr>
        <w:t>מדו"ה</w:t>
      </w:r>
      <w:r w:rsidRPr="00AE703B">
        <w:rPr>
          <w:rtl/>
        </w:rPr>
        <w:t xml:space="preserve"> </w:t>
      </w:r>
      <w:r w:rsidRPr="00AF0183">
        <w:rPr>
          <w:rtl/>
        </w:rPr>
        <w:t xml:space="preserve">אבל קרן וכפל </w:t>
      </w:r>
      <w:r w:rsidRPr="00AE703B">
        <w:rPr>
          <w:u w:val="single"/>
          <w:rtl/>
        </w:rPr>
        <w:t xml:space="preserve">משלם </w:t>
      </w:r>
      <w:r w:rsidRPr="00AF0183">
        <w:rPr>
          <w:u w:val="single"/>
          <w:rtl/>
        </w:rPr>
        <w:t>קרן כי השתא</w:t>
      </w:r>
      <w:r w:rsidRPr="00AF0183">
        <w:rPr>
          <w:rtl/>
        </w:rPr>
        <w:t xml:space="preserve"> וכפל כעין שגנב או כשעת העמדה בדין</w:t>
      </w:r>
      <w:r w:rsidR="00E9505C">
        <w:rPr>
          <w:rFonts w:hint="cs"/>
          <w:rtl/>
        </w:rPr>
        <w:t>:</w:t>
      </w:r>
    </w:p>
    <w:p w14:paraId="5A62677B" w14:textId="7F955452" w:rsidR="0078385D" w:rsidRDefault="00912150" w:rsidP="0009455F">
      <w:pPr>
        <w:ind w:left="720" w:hanging="720"/>
        <w:rPr>
          <w:rtl/>
        </w:rPr>
      </w:pPr>
      <w:r>
        <w:rPr>
          <w:rFonts w:hint="cs"/>
          <w:rtl/>
        </w:rPr>
        <w:t xml:space="preserve">הבנת רש"י היא שהשינוי קונה ופוטר מדו"ה, אבל משלם קרן כהשתא כמו במקרים שבהם הוא </w:t>
      </w:r>
      <w:r w:rsidR="00A86B12">
        <w:rPr>
          <w:rFonts w:hint="cs"/>
          <w:rtl/>
        </w:rPr>
        <w:t>לא קנה.</w:t>
      </w:r>
    </w:p>
    <w:p w14:paraId="20BAD5ED" w14:textId="5F15D1DE" w:rsidR="004A428B" w:rsidRDefault="00FD25B9" w:rsidP="004A428B">
      <w:pPr>
        <w:rPr>
          <w:rtl/>
        </w:rPr>
      </w:pPr>
      <w:r>
        <w:rPr>
          <w:rFonts w:hint="cs"/>
          <w:rtl/>
        </w:rPr>
        <w:t xml:space="preserve">בהמשך הגמרא, </w:t>
      </w:r>
      <w:r w:rsidR="004A428B">
        <w:rPr>
          <w:rFonts w:hint="cs"/>
          <w:rtl/>
        </w:rPr>
        <w:t>רבי חנינא</w:t>
      </w:r>
      <w:r w:rsidR="004B0F9B">
        <w:rPr>
          <w:rFonts w:hint="cs"/>
          <w:rtl/>
        </w:rPr>
        <w:t xml:space="preserve"> (להלן: ר"ח)</w:t>
      </w:r>
      <w:r w:rsidR="004A428B">
        <w:rPr>
          <w:rFonts w:hint="cs"/>
          <w:rtl/>
        </w:rPr>
        <w:t xml:space="preserve"> </w:t>
      </w:r>
      <w:r w:rsidR="00736ABF">
        <w:rPr>
          <w:rFonts w:hint="cs"/>
          <w:rtl/>
        </w:rPr>
        <w:t>מקשה על ר</w:t>
      </w:r>
      <w:r>
        <w:rPr>
          <w:rFonts w:hint="cs"/>
          <w:rtl/>
        </w:rPr>
        <w:t>בי אילעא (להלן: ר"א)</w:t>
      </w:r>
      <w:r w:rsidR="004A428B">
        <w:rPr>
          <w:rFonts w:hint="cs"/>
          <w:rtl/>
        </w:rPr>
        <w:t xml:space="preserve"> </w:t>
      </w:r>
      <w:r w:rsidR="00736ABF">
        <w:rPr>
          <w:rFonts w:hint="cs"/>
          <w:rtl/>
        </w:rPr>
        <w:t>מ</w:t>
      </w:r>
      <w:r w:rsidR="004A428B">
        <w:rPr>
          <w:rFonts w:hint="cs"/>
          <w:rtl/>
        </w:rPr>
        <w:t>ברייתא שכתוב בה שגנב טלה ונעשה איל משלם כפל ודו"ה כעין שגנב. הגמרא מתרצת את הברייתא לדעת ר"א, שהברייתא היא כדעת ב"ש שאומרים ששינוי במקומו עומד (לא קונה בכלל), ומשלם כעין שגנב בגלל "טלאים כדמעיקרא, דמים כשל עכשיו".</w:t>
      </w:r>
    </w:p>
    <w:p w14:paraId="19F9ACD0" w14:textId="2811686B" w:rsidR="00994D29" w:rsidRDefault="00736ABF" w:rsidP="00F37173">
      <w:pPr>
        <w:ind w:left="720" w:hanging="720"/>
        <w:rPr>
          <w:rtl/>
        </w:rPr>
      </w:pPr>
      <w:r>
        <w:rPr>
          <w:rFonts w:hint="cs"/>
          <w:rtl/>
        </w:rPr>
        <w:t xml:space="preserve">בפשטות, ר"ח </w:t>
      </w:r>
      <w:r w:rsidR="00994D29">
        <w:rPr>
          <w:rFonts w:hint="cs"/>
          <w:rtl/>
        </w:rPr>
        <w:t xml:space="preserve">חולק על </w:t>
      </w:r>
      <w:r w:rsidR="00FD25B9">
        <w:rPr>
          <w:rFonts w:hint="cs"/>
          <w:rtl/>
        </w:rPr>
        <w:t>ר"א</w:t>
      </w:r>
      <w:r w:rsidR="00994D29">
        <w:rPr>
          <w:rFonts w:hint="cs"/>
          <w:rtl/>
        </w:rPr>
        <w:t xml:space="preserve"> בשני דברים:</w:t>
      </w:r>
    </w:p>
    <w:p w14:paraId="1A15739A" w14:textId="2A6CE07B" w:rsidR="0023086F" w:rsidRDefault="00994D29" w:rsidP="00994D29">
      <w:pPr>
        <w:pStyle w:val="af4"/>
        <w:numPr>
          <w:ilvl w:val="0"/>
          <w:numId w:val="2"/>
        </w:numPr>
      </w:pPr>
      <w:r>
        <w:rPr>
          <w:rFonts w:hint="cs"/>
          <w:rtl/>
        </w:rPr>
        <w:t xml:space="preserve">טלה ונעשה איל </w:t>
      </w:r>
      <w:r w:rsidR="00CA58B4">
        <w:rPr>
          <w:rFonts w:hint="cs"/>
          <w:u w:val="single"/>
          <w:rtl/>
        </w:rPr>
        <w:t xml:space="preserve">זה שינוי שלא </w:t>
      </w:r>
      <w:r w:rsidR="00CA58B4" w:rsidRPr="00CA58B4">
        <w:rPr>
          <w:rFonts w:hint="cs"/>
          <w:u w:val="single"/>
          <w:rtl/>
        </w:rPr>
        <w:t>קונה</w:t>
      </w:r>
      <w:r w:rsidR="00CA58B4">
        <w:rPr>
          <w:rFonts w:hint="cs"/>
          <w:rtl/>
        </w:rPr>
        <w:t xml:space="preserve"> </w:t>
      </w:r>
      <w:r w:rsidRPr="00CA58B4">
        <w:rPr>
          <w:rFonts w:hint="cs"/>
          <w:rtl/>
        </w:rPr>
        <w:t>ולכן</w:t>
      </w:r>
      <w:r>
        <w:rPr>
          <w:rFonts w:hint="cs"/>
          <w:rtl/>
        </w:rPr>
        <w:t xml:space="preserve"> צריך לשלם דו"ה</w:t>
      </w:r>
      <w:r w:rsidR="00A5151A">
        <w:rPr>
          <w:rFonts w:hint="cs"/>
          <w:rtl/>
        </w:rPr>
        <w:t>.</w:t>
      </w:r>
    </w:p>
    <w:p w14:paraId="27A6A56D" w14:textId="118D0269" w:rsidR="00994D29" w:rsidRDefault="00994D29" w:rsidP="00994D29">
      <w:pPr>
        <w:pStyle w:val="af4"/>
        <w:numPr>
          <w:ilvl w:val="0"/>
          <w:numId w:val="2"/>
        </w:numPr>
      </w:pPr>
      <w:r>
        <w:rPr>
          <w:rFonts w:hint="cs"/>
          <w:rtl/>
        </w:rPr>
        <w:t xml:space="preserve">יכול לקרות מצב שבו </w:t>
      </w:r>
      <w:r w:rsidR="00CA58B4">
        <w:rPr>
          <w:rFonts w:hint="cs"/>
          <w:rtl/>
        </w:rPr>
        <w:t>השינוי לא קונה</w:t>
      </w:r>
      <w:r>
        <w:rPr>
          <w:rFonts w:hint="cs"/>
          <w:rtl/>
        </w:rPr>
        <w:t xml:space="preserve"> אך משלם </w:t>
      </w:r>
      <w:r w:rsidR="00DA1F0B">
        <w:rPr>
          <w:rFonts w:hint="cs"/>
          <w:rtl/>
        </w:rPr>
        <w:t>דו"ה</w:t>
      </w:r>
      <w:r>
        <w:rPr>
          <w:rFonts w:hint="cs"/>
          <w:rtl/>
        </w:rPr>
        <w:t xml:space="preserve"> </w:t>
      </w:r>
      <w:r w:rsidRPr="00841F4F">
        <w:rPr>
          <w:rFonts w:hint="cs"/>
          <w:u w:val="single"/>
          <w:rtl/>
        </w:rPr>
        <w:t>כעין שגנב</w:t>
      </w:r>
      <w:r w:rsidR="00AB411D">
        <w:rPr>
          <w:rFonts w:hint="cs"/>
          <w:rtl/>
        </w:rPr>
        <w:t xml:space="preserve"> </w:t>
      </w:r>
      <w:r w:rsidR="00B067A2">
        <w:rPr>
          <w:rFonts w:hint="cs"/>
          <w:rtl/>
        </w:rPr>
        <w:t>(</w:t>
      </w:r>
      <w:r w:rsidR="00AB411D">
        <w:rPr>
          <w:rFonts w:hint="cs"/>
          <w:rtl/>
        </w:rPr>
        <w:t>בגלל שהגנב אומר לו "</w:t>
      </w:r>
      <w:r w:rsidR="003F7653">
        <w:rPr>
          <w:rFonts w:hint="cs"/>
          <w:rtl/>
        </w:rPr>
        <w:t xml:space="preserve">אטו </w:t>
      </w:r>
      <w:r w:rsidR="00AB411D">
        <w:rPr>
          <w:rFonts w:hint="cs"/>
          <w:rtl/>
        </w:rPr>
        <w:t>תורא גנבי מינך? דיכרא</w:t>
      </w:r>
      <w:r w:rsidR="00A727DF">
        <w:rPr>
          <w:rFonts w:hint="cs"/>
          <w:rtl/>
        </w:rPr>
        <w:t xml:space="preserve"> </w:t>
      </w:r>
      <w:r w:rsidR="00AB411D">
        <w:rPr>
          <w:rFonts w:hint="cs"/>
          <w:rtl/>
        </w:rPr>
        <w:t>גנבי מינך?"</w:t>
      </w:r>
      <w:r w:rsidR="00B067A2">
        <w:rPr>
          <w:rFonts w:hint="cs"/>
          <w:rtl/>
        </w:rPr>
        <w:t>)</w:t>
      </w:r>
      <w:r w:rsidR="00040955">
        <w:rPr>
          <w:rFonts w:hint="cs"/>
          <w:rtl/>
        </w:rPr>
        <w:t xml:space="preserve"> כי כן היה שינוי כלשהו.</w:t>
      </w:r>
    </w:p>
    <w:p w14:paraId="7D4AFAA7" w14:textId="7C143235" w:rsidR="003F7653" w:rsidRDefault="003F7653" w:rsidP="003F7653">
      <w:pPr>
        <w:rPr>
          <w:rtl/>
        </w:rPr>
      </w:pPr>
      <w:r>
        <w:rPr>
          <w:rFonts w:hint="cs"/>
          <w:rtl/>
        </w:rPr>
        <w:t>שיטת ר"ח</w:t>
      </w:r>
      <w:r w:rsidR="004A428B">
        <w:rPr>
          <w:rFonts w:hint="cs"/>
          <w:rtl/>
        </w:rPr>
        <w:t xml:space="preserve"> </w:t>
      </w:r>
      <w:r>
        <w:rPr>
          <w:rFonts w:hint="cs"/>
          <w:rtl/>
        </w:rPr>
        <w:t>טעונה הסבר. הוא אומר שמצד אחד השינוי הזה לא קונה, אבל מצד שני הוא כן יכול לומר לו "אטו תורא" ולשלם דו"ה כעין שגנב!</w:t>
      </w:r>
    </w:p>
    <w:p w14:paraId="71487628" w14:textId="0EF8FA5D" w:rsidR="0068190B" w:rsidRDefault="0068190B" w:rsidP="003F7653">
      <w:pPr>
        <w:rPr>
          <w:rtl/>
        </w:rPr>
      </w:pPr>
      <w:r>
        <w:rPr>
          <w:rFonts w:hint="cs"/>
          <w:rtl/>
        </w:rPr>
        <w:t>רוב הראשונים חולקים על רש"י.</w:t>
      </w:r>
    </w:p>
    <w:p w14:paraId="13AC9AD6" w14:textId="00A97F62" w:rsidR="00987E32" w:rsidRDefault="00987E32" w:rsidP="003F7653">
      <w:pPr>
        <w:rPr>
          <w:rtl/>
        </w:rPr>
      </w:pPr>
      <w:r>
        <w:rPr>
          <w:rFonts w:hint="cs"/>
          <w:rtl/>
        </w:rPr>
        <w:t xml:space="preserve">תוס' רבינו פרץ אומר שרש"י משווה את הטביחה של האיל לשבירה של חבית ("תברא או שתייה") ואומר שזה לא נראה לו, כי במקרה של שבירה ברגע השבירה הוא מבטל את יכולת ההחזרה ולכן מבצע גזילה מחודשת, אבל אצלנו גם אם לא היה טובח לא היה יכול להחזיר אלא היה צריך לשלם דמים כי נעשה שינוי והגזלן קנה את האיל. לכן הוא מביא את דעת רבי ידידיה </w:t>
      </w:r>
      <w:r w:rsidRPr="00236B9B">
        <w:rPr>
          <w:rFonts w:hint="cs"/>
          <w:u w:val="single"/>
          <w:rtl/>
        </w:rPr>
        <w:t>שפוסק שמשלם קרן כשעת הגנבה</w:t>
      </w:r>
      <w:r>
        <w:rPr>
          <w:rFonts w:hint="cs"/>
          <w:rtl/>
        </w:rPr>
        <w:t xml:space="preserve"> ולא כהשתא. </w:t>
      </w:r>
    </w:p>
    <w:p w14:paraId="0188770F" w14:textId="7A5D1BDA" w:rsidR="0068190B" w:rsidRPr="0052412E" w:rsidRDefault="0068190B" w:rsidP="003F7653">
      <w:r>
        <w:rPr>
          <w:rFonts w:hint="cs"/>
          <w:rtl/>
        </w:rPr>
        <w:t>גם הרמב"ם פוסק כמו רבי ידידיה.</w:t>
      </w:r>
    </w:p>
    <w:p w14:paraId="7F0CE803" w14:textId="2D2DC76F" w:rsidR="00550F54" w:rsidRDefault="009F1309" w:rsidP="00550F54">
      <w:pPr>
        <w:rPr>
          <w:rtl/>
        </w:rPr>
      </w:pPr>
      <w:r>
        <w:rPr>
          <w:rFonts w:hint="cs"/>
          <w:rtl/>
        </w:rPr>
        <w:t xml:space="preserve">הפני יהושע מקשה על דברי רש"י </w:t>
      </w:r>
      <w:r w:rsidRPr="00CC0FFB">
        <w:rPr>
          <w:rFonts w:hint="cs"/>
          <w:b/>
          <w:bCs/>
          <w:rtl/>
        </w:rPr>
        <w:t>[לכאורה גם על הגמרא קשה?],</w:t>
      </w:r>
      <w:r>
        <w:rPr>
          <w:rFonts w:hint="cs"/>
          <w:rtl/>
        </w:rPr>
        <w:t xml:space="preserve"> שהרי המשנה מדברת על גזלנים, ובגזלנים לא שייך תשלום דו"ה.</w:t>
      </w:r>
    </w:p>
    <w:p w14:paraId="7539F6AA" w14:textId="77777777" w:rsidR="00471466" w:rsidRDefault="00550F54" w:rsidP="00550F54">
      <w:pPr>
        <w:rPr>
          <w:rtl/>
        </w:rPr>
      </w:pPr>
      <w:r>
        <w:rPr>
          <w:rFonts w:hint="cs"/>
          <w:rtl/>
        </w:rPr>
        <w:t xml:space="preserve">ר' אריה לייב מאלין מביא את דברי </w:t>
      </w:r>
      <w:r w:rsidR="00C40477">
        <w:rPr>
          <w:rFonts w:hint="cs"/>
          <w:rtl/>
        </w:rPr>
        <w:t>ר' חיים</w:t>
      </w:r>
      <w:r w:rsidR="00C40477">
        <w:rPr>
          <w:rStyle w:val="ab"/>
          <w:rtl/>
        </w:rPr>
        <w:footnoteReference w:id="2"/>
      </w:r>
      <w:r>
        <w:rPr>
          <w:rFonts w:hint="cs"/>
          <w:rtl/>
        </w:rPr>
        <w:t>,</w:t>
      </w:r>
      <w:r w:rsidR="00C40477">
        <w:rPr>
          <w:rFonts w:hint="cs"/>
          <w:rtl/>
        </w:rPr>
        <w:t xml:space="preserve"> </w:t>
      </w:r>
      <w:r>
        <w:rPr>
          <w:rFonts w:hint="cs"/>
          <w:rtl/>
        </w:rPr>
        <w:t>ש</w:t>
      </w:r>
      <w:r w:rsidR="00C40477">
        <w:rPr>
          <w:rFonts w:hint="cs"/>
          <w:rtl/>
        </w:rPr>
        <w:t>אומר שיש מצבים שבהם שינוי לא קונה אבל הגזלן לא יכול לומר לו הרי שלך לפניך (להלן: הש"ל).</w:t>
      </w:r>
      <w:r w:rsidR="00203303">
        <w:rPr>
          <w:rFonts w:hint="cs"/>
          <w:rtl/>
        </w:rPr>
        <w:t xml:space="preserve"> זה </w:t>
      </w:r>
      <w:r w:rsidR="00203303" w:rsidRPr="00471466">
        <w:rPr>
          <w:rFonts w:hint="cs"/>
          <w:u w:val="single"/>
          <w:rtl/>
        </w:rPr>
        <w:t>לכאורה מסביר את דברי רש"י</w:t>
      </w:r>
      <w:r w:rsidR="00203303" w:rsidRPr="00471466">
        <w:rPr>
          <w:rFonts w:hint="cs"/>
          <w:rtl/>
        </w:rPr>
        <w:t>,</w:t>
      </w:r>
      <w:r w:rsidR="00203303">
        <w:rPr>
          <w:rFonts w:hint="cs"/>
          <w:rtl/>
        </w:rPr>
        <w:t xml:space="preserve"> כי גם לגבי גזילה לא יכול לומר לו הש"ל ולכן משלם כשעת הגזילה.</w:t>
      </w:r>
    </w:p>
    <w:p w14:paraId="441D5964" w14:textId="5E402E1C" w:rsidR="00203303" w:rsidRDefault="00471466" w:rsidP="00550F54">
      <w:pPr>
        <w:rPr>
          <w:rtl/>
        </w:rPr>
      </w:pPr>
      <w:r>
        <w:rPr>
          <w:rFonts w:hint="cs"/>
          <w:rtl/>
        </w:rPr>
        <w:t xml:space="preserve">במקרה רגיל של טו"מ, החיוב הוא שעכשיו הגנב ביטל את יכולת החזרת החפץ </w:t>
      </w:r>
      <w:r>
        <w:rPr>
          <w:rtl/>
        </w:rPr>
        <w:t>–</w:t>
      </w:r>
      <w:r>
        <w:rPr>
          <w:rFonts w:hint="cs"/>
          <w:rtl/>
        </w:rPr>
        <w:t xml:space="preserve"> לא יכול להגיד לבעלים הש"ל. אבל אצלנו, כבר אחרי שהטלה נעשה איל הוא לא יכול לומר לו הש"ל ולכן הוא פטור מדו"ה.</w:t>
      </w:r>
      <w:r w:rsidR="00203303">
        <w:rPr>
          <w:rFonts w:hint="cs"/>
          <w:rtl/>
        </w:rPr>
        <w:t xml:space="preserve"> </w:t>
      </w:r>
    </w:p>
    <w:p w14:paraId="185534DC" w14:textId="2B855606" w:rsidR="00471466" w:rsidRDefault="00471466" w:rsidP="00471466">
      <w:pPr>
        <w:rPr>
          <w:rtl/>
        </w:rPr>
      </w:pPr>
      <w:r>
        <w:rPr>
          <w:rFonts w:hint="cs"/>
          <w:rtl/>
        </w:rPr>
        <w:t xml:space="preserve">ר' לייב </w:t>
      </w:r>
      <w:r w:rsidRPr="00471466">
        <w:rPr>
          <w:rFonts w:hint="cs"/>
          <w:u w:val="single"/>
          <w:rtl/>
        </w:rPr>
        <w:t>דוחה את ההסבר של ר' חיים</w:t>
      </w:r>
      <w:r>
        <w:rPr>
          <w:rFonts w:hint="cs"/>
          <w:rtl/>
        </w:rPr>
        <w:t xml:space="preserve"> ואומר שזה בדיוק הסברא של "אטו תורא", שר"א בכלל לא סובר אותה ולכן אי אפשר להסביר את הדעה שלו בצורה כזאת. </w:t>
      </w:r>
    </w:p>
    <w:p w14:paraId="42698B25" w14:textId="3541FFE5" w:rsidR="00A7684E" w:rsidRDefault="00A7684E" w:rsidP="0009455F">
      <w:pPr>
        <w:rPr>
          <w:rtl/>
        </w:rPr>
      </w:pPr>
      <w:r>
        <w:rPr>
          <w:rFonts w:hint="cs"/>
          <w:rtl/>
        </w:rPr>
        <w:t>יותר מזה. לפי ר' חיים, לא רק שהדברים לא מתיישבים אלא שלפי רש"י זה יותר קשה.</w:t>
      </w:r>
    </w:p>
    <w:p w14:paraId="4002B441" w14:textId="1BAC93F2" w:rsidR="00471466" w:rsidRDefault="00471466" w:rsidP="0009455F">
      <w:pPr>
        <w:rPr>
          <w:rtl/>
        </w:rPr>
      </w:pPr>
      <w:r>
        <w:rPr>
          <w:rFonts w:hint="cs"/>
          <w:rtl/>
        </w:rPr>
        <w:t>ר' חיים אומר שיש שני דינים בשינוי:</w:t>
      </w:r>
    </w:p>
    <w:p w14:paraId="46B46429" w14:textId="51CD4F02" w:rsidR="00471466" w:rsidRDefault="00471466" w:rsidP="00471466">
      <w:pPr>
        <w:pStyle w:val="af4"/>
        <w:numPr>
          <w:ilvl w:val="0"/>
          <w:numId w:val="3"/>
        </w:numPr>
      </w:pPr>
      <w:r>
        <w:rPr>
          <w:rFonts w:hint="cs"/>
          <w:rtl/>
        </w:rPr>
        <w:t>יצא מתורת השבה ולא יכול לומר לו הש"ל, והבעלים יכול לדרוש את הגזילה בחזרה.</w:t>
      </w:r>
    </w:p>
    <w:p w14:paraId="4C5CD059" w14:textId="5EBBE90C" w:rsidR="00471466" w:rsidRDefault="00471466" w:rsidP="00471466">
      <w:pPr>
        <w:pStyle w:val="af4"/>
        <w:numPr>
          <w:ilvl w:val="0"/>
          <w:numId w:val="3"/>
        </w:numPr>
        <w:rPr>
          <w:rtl/>
        </w:rPr>
      </w:pPr>
      <w:r>
        <w:rPr>
          <w:rFonts w:hint="cs"/>
          <w:rtl/>
        </w:rPr>
        <w:t>שינוי של קניין גמור, שבו אין חיוב השבה והבעלים לא יכול לדרוש את הגזילה, והקניין מפקיע את חובת השבת החפץ.</w:t>
      </w:r>
    </w:p>
    <w:p w14:paraId="0ABA217E" w14:textId="2ED84E62" w:rsidR="00426CCA" w:rsidRDefault="00426CCA" w:rsidP="0009455F">
      <w:pPr>
        <w:rPr>
          <w:rtl/>
        </w:rPr>
      </w:pPr>
      <w:r>
        <w:rPr>
          <w:rFonts w:hint="cs"/>
          <w:rtl/>
        </w:rPr>
        <w:t>יש שתי משניות דומות בפרק שלנו, אחת בדף צג: שמדברת על געו"כ, שאדם עשה שינוי בידיים, ואחת בדף צו: שדנה במקרה של אדם שגזל בהמה והזקינה, שזה שינוי שנעשה ממילא.</w:t>
      </w:r>
    </w:p>
    <w:p w14:paraId="309116C5" w14:textId="74B750AA" w:rsidR="00736ABF" w:rsidRDefault="00874D38" w:rsidP="00874D38">
      <w:pPr>
        <w:rPr>
          <w:rtl/>
        </w:rPr>
      </w:pPr>
      <w:r>
        <w:rPr>
          <w:rFonts w:hint="cs"/>
          <w:rtl/>
        </w:rPr>
        <w:t xml:space="preserve">בדף צו: </w:t>
      </w:r>
      <w:r>
        <w:rPr>
          <w:rFonts w:hint="cs"/>
          <w:u w:val="single"/>
          <w:rtl/>
        </w:rPr>
        <w:t>לפני המשנה השנייה</w:t>
      </w:r>
      <w:r>
        <w:rPr>
          <w:rFonts w:hint="cs"/>
          <w:rtl/>
        </w:rPr>
        <w:t xml:space="preserve">, </w:t>
      </w:r>
      <w:r>
        <w:rPr>
          <w:rFonts w:hint="cs"/>
          <w:rtl/>
        </w:rPr>
        <w:t>הגמרא אומרת על המשפט במשנה "כל הגזלנים משלמים כשעת הגזילה" שהוא בא לרבות את המקרה של טלה ונעשה איל, ששלו הוא טובח ושלו הוא מוכר. רש"י מסביר שם שאותו גזלן משלם רק כפל (ולא דו"ה).</w:t>
      </w:r>
      <w:r>
        <w:rPr>
          <w:rFonts w:hint="cs"/>
          <w:rtl/>
        </w:rPr>
        <w:t xml:space="preserve"> </w:t>
      </w:r>
      <w:r w:rsidR="00736ABF">
        <w:rPr>
          <w:rFonts w:hint="cs"/>
          <w:rtl/>
        </w:rPr>
        <w:t>היינו חושבים שה"לאתויי מאי" יבוא על המשנה השנייה, כי זה שינוי ממילא.</w:t>
      </w:r>
    </w:p>
    <w:p w14:paraId="452B730F" w14:textId="24B13DA7" w:rsidR="00736ABF" w:rsidRDefault="00874D38" w:rsidP="0009455F">
      <w:pPr>
        <w:rPr>
          <w:rtl/>
        </w:rPr>
      </w:pPr>
      <w:r>
        <w:rPr>
          <w:rFonts w:hint="cs"/>
          <w:rtl/>
        </w:rPr>
        <w:t>אפשר לענות על זה מדברי הרא"ש</w:t>
      </w:r>
      <w:r>
        <w:rPr>
          <w:rStyle w:val="ab"/>
          <w:rtl/>
        </w:rPr>
        <w:footnoteReference w:id="3"/>
      </w:r>
      <w:r>
        <w:rPr>
          <w:rFonts w:hint="cs"/>
          <w:rtl/>
        </w:rPr>
        <w:t>:</w:t>
      </w:r>
    </w:p>
    <w:p w14:paraId="0DEBA6B3" w14:textId="59AD9B4A" w:rsidR="008E5DF6" w:rsidRDefault="008E5DF6" w:rsidP="00D13CAF">
      <w:pPr>
        <w:rPr>
          <w:rtl/>
        </w:rPr>
      </w:pPr>
      <w:r w:rsidRPr="009D11E1">
        <w:rPr>
          <w:rFonts w:hint="cs"/>
          <w:u w:val="single"/>
          <w:rtl/>
        </w:rPr>
        <w:lastRenderedPageBreak/>
        <w:t>הרא"ש מחלק</w:t>
      </w:r>
      <w:r>
        <w:rPr>
          <w:rFonts w:hint="cs"/>
          <w:rtl/>
        </w:rPr>
        <w:t xml:space="preserve"> בין </w:t>
      </w:r>
      <w:r w:rsidR="003F4D3C">
        <w:rPr>
          <w:rFonts w:hint="cs"/>
          <w:rtl/>
        </w:rPr>
        <w:t>"נתפטמה מאליה"</w:t>
      </w:r>
      <w:r>
        <w:rPr>
          <w:rFonts w:hint="cs"/>
          <w:rtl/>
        </w:rPr>
        <w:t xml:space="preserve"> לבין טלה ונעשה איל</w:t>
      </w:r>
      <w:r w:rsidR="00A047A8">
        <w:rPr>
          <w:rFonts w:hint="cs"/>
          <w:rtl/>
        </w:rPr>
        <w:t>, למרות ששניהם זה שינוי ממילא</w:t>
      </w:r>
      <w:r>
        <w:rPr>
          <w:rFonts w:hint="cs"/>
          <w:rtl/>
        </w:rPr>
        <w:t>. טלה ונעשה איל זה שינוי (שלו הוא טובח שלו הוא מוכר)</w:t>
      </w:r>
      <w:r w:rsidR="00CF41AE">
        <w:rPr>
          <w:rFonts w:hint="cs"/>
          <w:rtl/>
        </w:rPr>
        <w:t>, אחרי השינוי הזה הטלה כבר לא נמצא. יש רק איל. בנתפטמה מאליה זה פשוט אותה בהמה עם יותר שומן</w:t>
      </w:r>
      <w:r>
        <w:rPr>
          <w:rFonts w:hint="cs"/>
          <w:rtl/>
        </w:rPr>
        <w:t xml:space="preserve"> </w:t>
      </w:r>
      <w:r w:rsidR="00FC48B6">
        <w:rPr>
          <w:rFonts w:hint="cs"/>
          <w:rtl/>
        </w:rPr>
        <w:t>(</w:t>
      </w:r>
      <w:r>
        <w:rPr>
          <w:rFonts w:hint="cs"/>
          <w:rtl/>
        </w:rPr>
        <w:t>אם פטמה</w:t>
      </w:r>
      <w:r w:rsidR="003F4D3C">
        <w:rPr>
          <w:rFonts w:hint="cs"/>
          <w:rtl/>
        </w:rPr>
        <w:t>ּ</w:t>
      </w:r>
      <w:r>
        <w:rPr>
          <w:rFonts w:hint="cs"/>
          <w:rtl/>
        </w:rPr>
        <w:t xml:space="preserve"> בידיים משלם כעין שגנב בגלל סברא אחרת של "אנא מפטימנא ואת שקלת"</w:t>
      </w:r>
      <w:r w:rsidR="00FC48B6">
        <w:rPr>
          <w:rFonts w:hint="cs"/>
          <w:rtl/>
        </w:rPr>
        <w:t>)</w:t>
      </w:r>
      <w:r w:rsidR="00D13CAF">
        <w:rPr>
          <w:rFonts w:hint="cs"/>
          <w:rtl/>
        </w:rPr>
        <w:t>.</w:t>
      </w:r>
    </w:p>
    <w:p w14:paraId="31FC07B1" w14:textId="4D9F8662" w:rsidR="00D13CAF" w:rsidRDefault="00320B2F" w:rsidP="00320B2F">
      <w:pPr>
        <w:rPr>
          <w:rtl/>
        </w:rPr>
      </w:pPr>
      <w:r>
        <w:rPr>
          <w:rFonts w:hint="cs"/>
          <w:rtl/>
        </w:rPr>
        <w:t xml:space="preserve">בדברי הרא"ש יש גם </w:t>
      </w:r>
      <w:r w:rsidRPr="009D11E1">
        <w:rPr>
          <w:rFonts w:hint="cs"/>
          <w:u w:val="single"/>
          <w:rtl/>
        </w:rPr>
        <w:t>חילוק נוסף</w:t>
      </w:r>
      <w:r>
        <w:rPr>
          <w:rFonts w:hint="cs"/>
          <w:rtl/>
        </w:rPr>
        <w:t xml:space="preserve">. במקרה של טלה ונעשה איל, היה ידוע מראש שהטלה יהפוך לאיל, אפשר לומר שהאיל היה מונח בטלה כבר בהתחלה. אבל בנתפטמה מאליה השינוי לא היה מונח. </w:t>
      </w:r>
      <w:r w:rsidRPr="006B10F2">
        <w:rPr>
          <w:rFonts w:hint="cs"/>
          <w:u w:val="single"/>
          <w:rtl/>
        </w:rPr>
        <w:t>החידוש של ר"א הוא שלמרות שהשינוי היה מונח, זה עדיין קונה.</w:t>
      </w:r>
    </w:p>
    <w:p w14:paraId="359D37E5" w14:textId="27BE90BA" w:rsidR="00F248AC" w:rsidRDefault="00D13CAF" w:rsidP="00F248AC">
      <w:pPr>
        <w:rPr>
          <w:rtl/>
        </w:rPr>
      </w:pPr>
      <w:r>
        <w:rPr>
          <w:rFonts w:hint="cs"/>
          <w:rtl/>
        </w:rPr>
        <w:t>עכשיו נעבור לביאור דברי רש"י.</w:t>
      </w:r>
    </w:p>
    <w:p w14:paraId="54C2F4BA" w14:textId="43B90F64" w:rsidR="003E771B" w:rsidRDefault="003E771B" w:rsidP="00F248AC">
      <w:pPr>
        <w:rPr>
          <w:rtl/>
        </w:rPr>
      </w:pPr>
      <w:r>
        <w:rPr>
          <w:rFonts w:hint="cs"/>
          <w:rtl/>
        </w:rPr>
        <w:t>(מכאן ואילך במילותיו של נתנאל)</w:t>
      </w:r>
    </w:p>
    <w:p w14:paraId="5355C706" w14:textId="17980B48" w:rsidR="009D77FB" w:rsidRPr="007E4AFA" w:rsidRDefault="009D77FB" w:rsidP="007E4AFA">
      <w:pPr>
        <w:rPr>
          <w:rtl/>
        </w:rPr>
      </w:pPr>
      <w:r w:rsidRPr="00956608">
        <w:rPr>
          <w:rtl/>
        </w:rPr>
        <w:t>אם דנים על האיל, האיל לעולם לא היה דבר הגזול. אם דנים על הטלה, לגבי הטלה אין שינוי שהרי היה מונח בו שהוא יהיה מחר איל.</w:t>
      </w:r>
      <w:r w:rsidRPr="00956608">
        <w:rPr>
          <w:u w:val="single"/>
          <w:rtl/>
        </w:rPr>
        <w:t xml:space="preserve"> כשאני דן על האיל, זה משהו חדש. כשאני דן על הטלה, לא קרה לו שום דבר.</w:t>
      </w:r>
      <w:r w:rsidRPr="00956608">
        <w:rPr>
          <w:rtl/>
        </w:rPr>
        <w:t xml:space="preserve"> יש משהו ברור, שאם אדם גזל כעצים ועשה מהם ארון, הנגזל לא יכול לכפות אותו להביא לו את הארון. לפני שטבחו את האיל, הנגזל </w:t>
      </w:r>
      <w:r w:rsidRPr="00956608">
        <w:rPr>
          <w:b/>
          <w:bCs/>
          <w:rtl/>
        </w:rPr>
        <w:t xml:space="preserve">יכול </w:t>
      </w:r>
      <w:r w:rsidRPr="00956608">
        <w:rPr>
          <w:rtl/>
        </w:rPr>
        <w:t>לקבל את האיל שלו שהרי זה גם הטלה שלו. בעצים, אין לו זכות בכלל. לגבי האיל יש שינוי, ולגבי הטלה לא. אם הבעלים רוצים את האיל מחמת הטלה, הם יכולים כי מחמת הטלה לא היה שינוי. חובת ההשבה לא פקעה מהטלה, כי כדי להשיב את הטלה אפשר להשיב את האיל. אם תברה או שתייה, הוא שבר את הטלה שבתוך האיל. ברגע שהוא שוחט אין כבר טלה, הוא גזל את ה"והשיב" של הטלה שמתקיים בהשבה של האיל. זה לעניין תברא ושתייה. אבל לגבי או"ח – צריך ביאור. טביחה זה לא סתם ביטול השבה. הרי על ביטול השבה לא בהכרח מתחייבים או"ח. צריך דווקא שחיטה כשרה. אז כיוון שהאיל הוא משהו חדש, והוא לא גנוב, אז על זה אומר רבי אילעא, נעשה שינוי בידו וקנאו. לכן זה מתאים למשנה הראשונה – נעשה שינוי בגוף הדבר, זה כמו עצים ולכן זה מובא במשנה הראשונה. לעומת זאת ר"ח סובר שחייבים או"ח. מדוע? מונח בטלה האיל של מחר, עד כדי כך שבאיל מונח הטלה וטביחת האיל היא גם טביחת הטלה.</w:t>
      </w:r>
    </w:p>
    <w:p w14:paraId="14DA80A4" w14:textId="77777777" w:rsidR="009D77FB" w:rsidRPr="009D77FB" w:rsidRDefault="009D77FB" w:rsidP="009D77FB">
      <w:pPr>
        <w:rPr>
          <w:rtl/>
        </w:rPr>
      </w:pPr>
      <w:r w:rsidRPr="009D77FB">
        <w:rPr>
          <w:rtl/>
        </w:rPr>
        <w:t xml:space="preserve">על דברי ר"א אומר ר"ח "תורא גנבי מינך?" – מעשה הגניבה של הטלה לא יכול להיחשב מעשה גניבה של איל שהרי הוא </w:t>
      </w:r>
      <w:r w:rsidRPr="009D77FB">
        <w:rPr>
          <w:u w:val="single"/>
          <w:rtl/>
        </w:rPr>
        <w:t>עוד לא בא לעולם</w:t>
      </w:r>
      <w:r w:rsidRPr="009D77FB">
        <w:rPr>
          <w:rtl/>
        </w:rPr>
        <w:t>. אם זה נקרא גניבה של איל אז אין שינוי, ואם כך ישלם כדהשתא (ר"א). ואם זה לא נקרא – ישלם כדמעיקרא (ר"ח).זו המח' השניה - האם אפשר להגיד שבשעה שגנבתי את הטלה בעצם גנבתי גם את האיל. זו המחלוקת בין ר"ח לר"א, ואין כאן סתירה בסברות.</w:t>
      </w:r>
    </w:p>
    <w:p w14:paraId="10043DE5" w14:textId="17B55A93" w:rsidR="00CF41AE" w:rsidRPr="00630C27" w:rsidRDefault="009D77FB" w:rsidP="001E7F86">
      <w:pPr>
        <w:rPr>
          <w:rtl/>
        </w:rPr>
      </w:pPr>
      <w:r w:rsidRPr="009D77FB">
        <w:rPr>
          <w:rtl/>
        </w:rPr>
        <w:t>כשאני דן את האיל, ר"ח אומר ששחט גם את הטלה. ר"א אומר ששחט את האיל והאיל הוא משהו חדש. זה לא סותר את הסברא ההפוכה – האם בשעת הגניבה היתה גניבה של איל? ר"א אומר שהיתה גניבה של איל כיום שטלה הוא איל בפוטנציאל. ולכן משלם כהשתא. אומר ר"ח, כשגנבת האיל לא בא לעולם, ולכן זה לא נקרא שגנב איל. השאלה היא מה דנים, את הטלה או את האיל. [</w:t>
      </w:r>
      <w:r w:rsidRPr="009D77FB">
        <w:rPr>
          <w:b/>
          <w:bCs/>
          <w:rtl/>
        </w:rPr>
        <w:t>אין כאן סתירה אלא להיפך – יש כאן שיטתיות: ר"א סובר שאנחנו מסתכלים קדימה ולא אחורה – בשעת הגניבה נחשב כגונב איל, אך בשעת הטביחה לא מסתכלים אחורה ולא נחשב כטובח טלה. ר"ח לעומתו סובר שמסתכלים אחורה ולא קדימה: בשעת הגניבה לא נחשב כגונב איל אך בשעת הטביחה כן נחשב כטובח טלה.</w:t>
      </w:r>
      <w:r w:rsidRPr="009D77FB">
        <w:rPr>
          <w:rtl/>
        </w:rPr>
        <w:t>]</w:t>
      </w:r>
    </w:p>
    <w:sectPr w:rsidR="00CF41AE" w:rsidRPr="00630C27" w:rsidSect="00446D9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3DB64" w14:textId="77777777" w:rsidR="005D3392" w:rsidRDefault="005D3392" w:rsidP="00CD34AC">
      <w:pPr>
        <w:spacing w:after="0"/>
      </w:pPr>
      <w:r>
        <w:separator/>
      </w:r>
    </w:p>
  </w:endnote>
  <w:endnote w:type="continuationSeparator" w:id="0">
    <w:p w14:paraId="0E66E8EA" w14:textId="77777777" w:rsidR="005D3392" w:rsidRDefault="005D3392" w:rsidP="00CD34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adassah Friedlaender">
    <w:panose1 w:val="02020603050405020304"/>
    <w:charset w:val="00"/>
    <w:family w:val="roman"/>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cular One">
    <w:panose1 w:val="00000500000000000000"/>
    <w:charset w:val="00"/>
    <w:family w:val="auto"/>
    <w:pitch w:val="variable"/>
    <w:sig w:usb0="00000807" w:usb1="40000000" w:usb2="00000000" w:usb3="00000000" w:csb0="000000B3" w:csb1="00000000"/>
  </w:font>
  <w:font w:name="Guttman Keren">
    <w:panose1 w:val="00000400000000000000"/>
    <w:charset w:val="B1"/>
    <w:family w:val="auto"/>
    <w:pitch w:val="variable"/>
    <w:sig w:usb0="00000801" w:usb1="40000000" w:usb2="00000000" w:usb3="00000000" w:csb0="00000020" w:csb1="00000000"/>
  </w:font>
  <w:font w:name="Suez One">
    <w:panose1 w:val="00000500000000000000"/>
    <w:charset w:val="00"/>
    <w:family w:val="auto"/>
    <w:pitch w:val="variable"/>
    <w:sig w:usb0="00000807" w:usb1="40000000" w:usb2="00000000" w:usb3="00000000" w:csb0="000000B3" w:csb1="00000000"/>
  </w:font>
  <w:font w:name="Shofar">
    <w:panose1 w:val="02000000000000000000"/>
    <w:charset w:val="00"/>
    <w:family w:val="auto"/>
    <w:pitch w:val="variable"/>
    <w:sig w:usb0="8000086F" w:usb1="4000204A" w:usb2="00000000" w:usb3="00000000" w:csb0="00000021" w:csb1="00000000"/>
  </w:font>
  <w:font w:name="Heebo">
    <w:panose1 w:val="00000500000000000000"/>
    <w:charset w:val="00"/>
    <w:family w:val="auto"/>
    <w:pitch w:val="variable"/>
    <w:sig w:usb0="00000803" w:usb1="40000001" w:usb2="00000000" w:usb3="00000000" w:csb0="00000021" w:csb1="00000000"/>
  </w:font>
  <w:font w:name="Heebo Medium">
    <w:panose1 w:val="00000600000000000000"/>
    <w:charset w:val="00"/>
    <w:family w:val="auto"/>
    <w:pitch w:val="variable"/>
    <w:sig w:usb0="00000803" w:usb1="40000001"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B33AC" w14:textId="77777777" w:rsidR="005D3392" w:rsidRDefault="005D3392" w:rsidP="00CD34AC">
      <w:pPr>
        <w:spacing w:after="0"/>
      </w:pPr>
      <w:r>
        <w:separator/>
      </w:r>
    </w:p>
  </w:footnote>
  <w:footnote w:type="continuationSeparator" w:id="0">
    <w:p w14:paraId="036513A0" w14:textId="77777777" w:rsidR="005D3392" w:rsidRDefault="005D3392" w:rsidP="00CD34AC">
      <w:pPr>
        <w:spacing w:after="0"/>
      </w:pPr>
      <w:r>
        <w:continuationSeparator/>
      </w:r>
    </w:p>
  </w:footnote>
  <w:footnote w:id="1">
    <w:p w14:paraId="2BB22A77" w14:textId="77777777" w:rsidR="0009455F" w:rsidRDefault="0009455F" w:rsidP="0009455F">
      <w:pPr>
        <w:pStyle w:val="a5"/>
        <w:rPr>
          <w:rtl/>
        </w:rPr>
      </w:pPr>
      <w:r>
        <w:rPr>
          <w:rStyle w:val="ab"/>
        </w:rPr>
        <w:footnoteRef/>
      </w:r>
      <w:r>
        <w:rPr>
          <w:rtl/>
        </w:rPr>
        <w:t xml:space="preserve"> </w:t>
      </w:r>
      <w:r>
        <w:rPr>
          <w:rFonts w:hint="cs"/>
          <w:rtl/>
        </w:rPr>
        <w:t>סה:</w:t>
      </w:r>
    </w:p>
  </w:footnote>
  <w:footnote w:id="2">
    <w:p w14:paraId="17DFC209" w14:textId="70A59CF7" w:rsidR="00C40477" w:rsidRDefault="00C40477">
      <w:pPr>
        <w:pStyle w:val="a5"/>
      </w:pPr>
      <w:r>
        <w:rPr>
          <w:rStyle w:val="ab"/>
        </w:rPr>
        <w:footnoteRef/>
      </w:r>
      <w:r>
        <w:rPr>
          <w:rtl/>
        </w:rPr>
        <w:t xml:space="preserve"> </w:t>
      </w:r>
      <w:r>
        <w:rPr>
          <w:rFonts w:hint="cs"/>
          <w:rtl/>
        </w:rPr>
        <w:t>הל' גזילה ואבדה פ"ב הט"ו</w:t>
      </w:r>
    </w:p>
  </w:footnote>
  <w:footnote w:id="3">
    <w:p w14:paraId="58B91F93" w14:textId="55A13669" w:rsidR="00874D38" w:rsidRDefault="00874D38">
      <w:pPr>
        <w:pStyle w:val="a5"/>
        <w:rPr>
          <w:rFonts w:hint="cs"/>
        </w:rPr>
      </w:pPr>
      <w:r>
        <w:rPr>
          <w:rStyle w:val="ab"/>
        </w:rPr>
        <w:footnoteRef/>
      </w:r>
      <w:r>
        <w:rPr>
          <w:rtl/>
        </w:rPr>
        <w:t xml:space="preserve"> </w:t>
      </w:r>
      <w:r>
        <w:rPr>
          <w:rFonts w:hint="cs"/>
          <w:rtl/>
        </w:rPr>
        <w:t>פרק שביעי סימן ב'</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DD2A5" w14:textId="6A6F78FF" w:rsidR="00CD34AC" w:rsidRDefault="00CD34AC">
    <w:pPr>
      <w:pStyle w:val="a7"/>
    </w:pPr>
    <w:r>
      <w:rPr>
        <w:rFonts w:hint="cs"/>
        <w:rtl/>
      </w:rPr>
      <w:t>בס"ד</w:t>
    </w:r>
    <w:r>
      <w:rPr>
        <w:rtl/>
      </w:rPr>
      <w:ptab w:relativeTo="margin" w:alignment="right" w:leader="none"/>
    </w: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 MMMM yyyy" \h</w:instrText>
    </w:r>
    <w:r>
      <w:rPr>
        <w:rtl/>
      </w:rPr>
      <w:instrText xml:space="preserve"> </w:instrText>
    </w:r>
    <w:r>
      <w:rPr>
        <w:rtl/>
      </w:rPr>
      <w:fldChar w:fldCharType="separate"/>
    </w:r>
    <w:r w:rsidR="00463DEA">
      <w:rPr>
        <w:rFonts w:ascii="Times New Roman" w:hAnsi="Times New Roman" w:cs="Times New Roman" w:hint="cs"/>
        <w:noProof/>
        <w:rtl/>
      </w:rPr>
      <w:t>‏</w:t>
    </w:r>
    <w:r w:rsidR="00463DEA">
      <w:rPr>
        <w:rFonts w:hint="cs"/>
        <w:noProof/>
        <w:rtl/>
      </w:rPr>
      <w:t>י</w:t>
    </w:r>
    <w:r w:rsidR="00463DEA">
      <w:rPr>
        <w:noProof/>
        <w:rtl/>
      </w:rPr>
      <w:t>"</w:t>
    </w:r>
    <w:r w:rsidR="00463DEA">
      <w:rPr>
        <w:rFonts w:hint="cs"/>
        <w:noProof/>
        <w:rtl/>
      </w:rPr>
      <w:t>ח</w:t>
    </w:r>
    <w:r w:rsidR="00463DEA">
      <w:rPr>
        <w:noProof/>
        <w:rtl/>
      </w:rPr>
      <w:t xml:space="preserve"> </w:t>
    </w:r>
    <w:r w:rsidR="00463DEA">
      <w:rPr>
        <w:rFonts w:hint="cs"/>
        <w:noProof/>
        <w:rtl/>
      </w:rPr>
      <w:t>אייר</w:t>
    </w:r>
    <w:r w:rsidR="00463DEA">
      <w:rPr>
        <w:noProof/>
        <w:rtl/>
      </w:rPr>
      <w:t xml:space="preserve"> </w:t>
    </w:r>
    <w:r w:rsidR="00463DEA">
      <w:rPr>
        <w:rFonts w:hint="cs"/>
        <w:noProof/>
        <w:rtl/>
      </w:rPr>
      <w:t>תשפ</w:t>
    </w:r>
    <w:r w:rsidR="00463DEA">
      <w:rPr>
        <w:noProof/>
        <w:rtl/>
      </w:rPr>
      <w:t>"ב</w:t>
    </w:r>
    <w:r>
      <w:rPr>
        <w:rt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36407"/>
    <w:multiLevelType w:val="hybridMultilevel"/>
    <w:tmpl w:val="FA7E70BC"/>
    <w:lvl w:ilvl="0" w:tplc="FC387FF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FD0792"/>
    <w:multiLevelType w:val="hybridMultilevel"/>
    <w:tmpl w:val="59AEEA84"/>
    <w:lvl w:ilvl="0" w:tplc="19BA49B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B30F60"/>
    <w:multiLevelType w:val="hybridMultilevel"/>
    <w:tmpl w:val="38102566"/>
    <w:lvl w:ilvl="0" w:tplc="426A63A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9444046">
    <w:abstractNumId w:val="2"/>
  </w:num>
  <w:num w:numId="2" w16cid:durableId="747459265">
    <w:abstractNumId w:val="1"/>
  </w:num>
  <w:num w:numId="3" w16cid:durableId="504789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55F"/>
    <w:rsid w:val="00040955"/>
    <w:rsid w:val="00042D40"/>
    <w:rsid w:val="0009455F"/>
    <w:rsid w:val="00102007"/>
    <w:rsid w:val="00147567"/>
    <w:rsid w:val="001C7CF4"/>
    <w:rsid w:val="001E7F86"/>
    <w:rsid w:val="001F3942"/>
    <w:rsid w:val="00203303"/>
    <w:rsid w:val="0023086F"/>
    <w:rsid w:val="00236B9B"/>
    <w:rsid w:val="00252994"/>
    <w:rsid w:val="00264875"/>
    <w:rsid w:val="002D1C56"/>
    <w:rsid w:val="00320B2F"/>
    <w:rsid w:val="00345EB8"/>
    <w:rsid w:val="003807F3"/>
    <w:rsid w:val="003B089A"/>
    <w:rsid w:val="003B1F41"/>
    <w:rsid w:val="003D0236"/>
    <w:rsid w:val="003E771B"/>
    <w:rsid w:val="003F4D3C"/>
    <w:rsid w:val="003F7653"/>
    <w:rsid w:val="00426CCA"/>
    <w:rsid w:val="00446D94"/>
    <w:rsid w:val="00463DEA"/>
    <w:rsid w:val="00471466"/>
    <w:rsid w:val="004875C1"/>
    <w:rsid w:val="004A428B"/>
    <w:rsid w:val="004B0F9B"/>
    <w:rsid w:val="004B6BD2"/>
    <w:rsid w:val="004D01DE"/>
    <w:rsid w:val="004D146B"/>
    <w:rsid w:val="004E7457"/>
    <w:rsid w:val="004F5665"/>
    <w:rsid w:val="00516B3A"/>
    <w:rsid w:val="0052412E"/>
    <w:rsid w:val="00550F54"/>
    <w:rsid w:val="005D3392"/>
    <w:rsid w:val="006140F2"/>
    <w:rsid w:val="00630945"/>
    <w:rsid w:val="00630C27"/>
    <w:rsid w:val="0068190B"/>
    <w:rsid w:val="006856EA"/>
    <w:rsid w:val="00696165"/>
    <w:rsid w:val="006B10F2"/>
    <w:rsid w:val="006C3CBD"/>
    <w:rsid w:val="006F31E6"/>
    <w:rsid w:val="0072639B"/>
    <w:rsid w:val="00734E01"/>
    <w:rsid w:val="00736ABF"/>
    <w:rsid w:val="00774F5C"/>
    <w:rsid w:val="0078385D"/>
    <w:rsid w:val="007E4AFA"/>
    <w:rsid w:val="00841F4F"/>
    <w:rsid w:val="0086092B"/>
    <w:rsid w:val="00874D38"/>
    <w:rsid w:val="008767CF"/>
    <w:rsid w:val="008B3499"/>
    <w:rsid w:val="008E5DF6"/>
    <w:rsid w:val="00912150"/>
    <w:rsid w:val="00933C89"/>
    <w:rsid w:val="00971C95"/>
    <w:rsid w:val="00981A0F"/>
    <w:rsid w:val="00987E32"/>
    <w:rsid w:val="00994D29"/>
    <w:rsid w:val="009D11E1"/>
    <w:rsid w:val="009D77FB"/>
    <w:rsid w:val="009E3F02"/>
    <w:rsid w:val="009F1309"/>
    <w:rsid w:val="00A047A8"/>
    <w:rsid w:val="00A20795"/>
    <w:rsid w:val="00A453D1"/>
    <w:rsid w:val="00A5151A"/>
    <w:rsid w:val="00A657F6"/>
    <w:rsid w:val="00A71461"/>
    <w:rsid w:val="00A727DF"/>
    <w:rsid w:val="00A7684E"/>
    <w:rsid w:val="00A86B12"/>
    <w:rsid w:val="00AB411D"/>
    <w:rsid w:val="00AC7461"/>
    <w:rsid w:val="00AE703B"/>
    <w:rsid w:val="00B067A2"/>
    <w:rsid w:val="00B3202C"/>
    <w:rsid w:val="00B43A94"/>
    <w:rsid w:val="00B64F90"/>
    <w:rsid w:val="00B74A33"/>
    <w:rsid w:val="00BA6289"/>
    <w:rsid w:val="00BE6DF8"/>
    <w:rsid w:val="00BF5F87"/>
    <w:rsid w:val="00C33438"/>
    <w:rsid w:val="00C40477"/>
    <w:rsid w:val="00C461A6"/>
    <w:rsid w:val="00C554A5"/>
    <w:rsid w:val="00C608A0"/>
    <w:rsid w:val="00CA58B4"/>
    <w:rsid w:val="00CC0FFB"/>
    <w:rsid w:val="00CD34AC"/>
    <w:rsid w:val="00CF41AE"/>
    <w:rsid w:val="00D13CAF"/>
    <w:rsid w:val="00D26F0F"/>
    <w:rsid w:val="00DA1F0B"/>
    <w:rsid w:val="00DE251B"/>
    <w:rsid w:val="00E22205"/>
    <w:rsid w:val="00E54B2D"/>
    <w:rsid w:val="00E9505C"/>
    <w:rsid w:val="00EB15A4"/>
    <w:rsid w:val="00F248AC"/>
    <w:rsid w:val="00F37173"/>
    <w:rsid w:val="00FC48B6"/>
    <w:rsid w:val="00FD25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B6D1C"/>
  <w15:chartTrackingRefBased/>
  <w15:docId w15:val="{1D073E4B-84A9-44B8-A734-43F20BFBC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dassah Friedlaender" w:eastAsiaTheme="minorHAnsi" w:hAnsi="Hadassah Friedlaender" w:cs="Hadassah Friedlaender"/>
        <w:sz w:val="22"/>
        <w:szCs w:val="22"/>
        <w:lang w:val="en-US" w:eastAsia="en-US" w:bidi="he-IL"/>
      </w:rPr>
    </w:rPrDefault>
    <w:pPrDefault>
      <w:pPr>
        <w:bidi/>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202C"/>
  </w:style>
  <w:style w:type="paragraph" w:styleId="1">
    <w:name w:val="heading 1"/>
    <w:basedOn w:val="a"/>
    <w:next w:val="a"/>
    <w:link w:val="10"/>
    <w:uiPriority w:val="9"/>
    <w:qFormat/>
    <w:rsid w:val="00DE251B"/>
    <w:pPr>
      <w:outlineLvl w:val="0"/>
    </w:pPr>
    <w:rPr>
      <w:rFonts w:ascii="Secular One" w:hAnsi="Secular One" w:cs="Guttman Keren"/>
      <w:sz w:val="44"/>
      <w:szCs w:val="44"/>
    </w:rPr>
  </w:style>
  <w:style w:type="paragraph" w:styleId="2">
    <w:name w:val="heading 2"/>
    <w:basedOn w:val="a"/>
    <w:next w:val="a"/>
    <w:link w:val="20"/>
    <w:uiPriority w:val="9"/>
    <w:qFormat/>
    <w:rsid w:val="004875C1"/>
    <w:pPr>
      <w:outlineLvl w:val="1"/>
    </w:pPr>
    <w:rPr>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B3202C"/>
    <w:pPr>
      <w:jc w:val="center"/>
    </w:pPr>
    <w:rPr>
      <w:rFonts w:ascii="Suez One" w:hAnsi="Suez One" w:cs="Suez One"/>
      <w:sz w:val="72"/>
      <w:szCs w:val="72"/>
    </w:rPr>
  </w:style>
  <w:style w:type="character" w:customStyle="1" w:styleId="a4">
    <w:name w:val="כותרת טקסט תו"/>
    <w:basedOn w:val="a0"/>
    <w:link w:val="a3"/>
    <w:uiPriority w:val="8"/>
    <w:rsid w:val="00B3202C"/>
    <w:rPr>
      <w:rFonts w:ascii="Suez One" w:hAnsi="Suez One" w:cs="Suez One"/>
      <w:sz w:val="72"/>
      <w:szCs w:val="72"/>
    </w:rPr>
  </w:style>
  <w:style w:type="character" w:customStyle="1" w:styleId="10">
    <w:name w:val="כותרת 1 תו"/>
    <w:basedOn w:val="a0"/>
    <w:link w:val="1"/>
    <w:uiPriority w:val="9"/>
    <w:rsid w:val="00DE251B"/>
    <w:rPr>
      <w:rFonts w:ascii="Secular One" w:hAnsi="Secular One" w:cs="Guttman Keren"/>
      <w:sz w:val="44"/>
      <w:szCs w:val="44"/>
    </w:rPr>
  </w:style>
  <w:style w:type="character" w:customStyle="1" w:styleId="20">
    <w:name w:val="כותרת 2 תו"/>
    <w:basedOn w:val="a0"/>
    <w:link w:val="2"/>
    <w:uiPriority w:val="9"/>
    <w:rsid w:val="004875C1"/>
    <w:rPr>
      <w:bCs/>
      <w:szCs w:val="28"/>
    </w:rPr>
  </w:style>
  <w:style w:type="paragraph" w:styleId="a5">
    <w:name w:val="footnote text"/>
    <w:basedOn w:val="a"/>
    <w:link w:val="a6"/>
    <w:autoRedefine/>
    <w:uiPriority w:val="99"/>
    <w:unhideWhenUsed/>
    <w:rsid w:val="00264875"/>
    <w:rPr>
      <w:sz w:val="20"/>
      <w:szCs w:val="20"/>
    </w:rPr>
  </w:style>
  <w:style w:type="character" w:customStyle="1" w:styleId="a6">
    <w:name w:val="טקסט הערת שוליים תו"/>
    <w:basedOn w:val="a0"/>
    <w:link w:val="a5"/>
    <w:uiPriority w:val="99"/>
    <w:rsid w:val="00264875"/>
    <w:rPr>
      <w:sz w:val="20"/>
      <w:szCs w:val="20"/>
    </w:rPr>
  </w:style>
  <w:style w:type="paragraph" w:styleId="a7">
    <w:name w:val="header"/>
    <w:basedOn w:val="a"/>
    <w:link w:val="a8"/>
    <w:uiPriority w:val="99"/>
    <w:unhideWhenUsed/>
    <w:rsid w:val="00B3202C"/>
  </w:style>
  <w:style w:type="character" w:customStyle="1" w:styleId="a8">
    <w:name w:val="כותרת עליונה תו"/>
    <w:basedOn w:val="a0"/>
    <w:link w:val="a7"/>
    <w:uiPriority w:val="99"/>
    <w:rsid w:val="00B3202C"/>
  </w:style>
  <w:style w:type="paragraph" w:styleId="a9">
    <w:name w:val="footer"/>
    <w:basedOn w:val="a7"/>
    <w:link w:val="aa"/>
    <w:uiPriority w:val="99"/>
    <w:unhideWhenUsed/>
    <w:rsid w:val="00B3202C"/>
  </w:style>
  <w:style w:type="character" w:customStyle="1" w:styleId="aa">
    <w:name w:val="כותרת תחתונה תו"/>
    <w:basedOn w:val="a0"/>
    <w:link w:val="a9"/>
    <w:uiPriority w:val="99"/>
    <w:rsid w:val="00B3202C"/>
  </w:style>
  <w:style w:type="character" w:styleId="ab">
    <w:name w:val="footnote reference"/>
    <w:basedOn w:val="a0"/>
    <w:uiPriority w:val="99"/>
    <w:semiHidden/>
    <w:unhideWhenUsed/>
    <w:rsid w:val="00B3202C"/>
    <w:rPr>
      <w:vertAlign w:val="superscript"/>
    </w:rPr>
  </w:style>
  <w:style w:type="character" w:styleId="ac">
    <w:name w:val="Strong"/>
    <w:aliases w:val="ציטוט."/>
    <w:uiPriority w:val="10"/>
    <w:qFormat/>
    <w:rsid w:val="00933C89"/>
    <w:rPr>
      <w:rFonts w:ascii="Shofar" w:hAnsi="Shofar" w:cs="Guttman Keren"/>
      <w:szCs w:val="20"/>
    </w:rPr>
  </w:style>
  <w:style w:type="paragraph" w:styleId="ad">
    <w:name w:val="No Spacing"/>
    <w:uiPriority w:val="11"/>
    <w:rsid w:val="00B3202C"/>
    <w:pPr>
      <w:tabs>
        <w:tab w:val="center" w:pos="4153"/>
        <w:tab w:val="right" w:pos="8306"/>
      </w:tabs>
      <w:spacing w:after="0"/>
    </w:pPr>
    <w:rPr>
      <w:rFonts w:ascii="Heebo" w:hAnsi="Heebo"/>
    </w:rPr>
  </w:style>
  <w:style w:type="character" w:styleId="ae">
    <w:name w:val="Subtle Emphasis"/>
    <w:basedOn w:val="a0"/>
    <w:uiPriority w:val="19"/>
    <w:rsid w:val="00B3202C"/>
    <w:rPr>
      <w:i/>
      <w:iCs/>
      <w:color w:val="404040" w:themeColor="text1" w:themeTint="BF"/>
    </w:rPr>
  </w:style>
  <w:style w:type="paragraph" w:styleId="af">
    <w:name w:val="Quote"/>
    <w:basedOn w:val="a"/>
    <w:next w:val="a"/>
    <w:link w:val="af0"/>
    <w:autoRedefine/>
    <w:uiPriority w:val="29"/>
    <w:qFormat/>
    <w:rsid w:val="008767CF"/>
    <w:pPr>
      <w:spacing w:before="200" w:after="160"/>
      <w:ind w:left="864" w:right="864"/>
      <w:jc w:val="center"/>
    </w:pPr>
    <w:rPr>
      <w:i/>
      <w:iCs/>
      <w:color w:val="404040" w:themeColor="text1" w:themeTint="BF"/>
    </w:rPr>
  </w:style>
  <w:style w:type="character" w:customStyle="1" w:styleId="af0">
    <w:name w:val="ציטוט תו"/>
    <w:basedOn w:val="a0"/>
    <w:link w:val="af"/>
    <w:uiPriority w:val="29"/>
    <w:rsid w:val="008767CF"/>
    <w:rPr>
      <w:i/>
      <w:iCs/>
      <w:color w:val="404040" w:themeColor="text1" w:themeTint="BF"/>
    </w:rPr>
  </w:style>
  <w:style w:type="character" w:customStyle="1" w:styleId="af1">
    <w:name w:val="מודגש"/>
    <w:basedOn w:val="a0"/>
    <w:uiPriority w:val="1"/>
    <w:rsid w:val="006140F2"/>
    <w:rPr>
      <w:rFonts w:cs="Heebo Medium"/>
      <w:bCs w:val="0"/>
    </w:rPr>
  </w:style>
  <w:style w:type="paragraph" w:customStyle="1" w:styleId="af2">
    <w:name w:val="הערת שוליים"/>
    <w:basedOn w:val="a"/>
    <w:link w:val="af3"/>
    <w:qFormat/>
    <w:rsid w:val="00B3202C"/>
    <w:rPr>
      <w:szCs w:val="20"/>
    </w:rPr>
  </w:style>
  <w:style w:type="character" w:customStyle="1" w:styleId="af3">
    <w:name w:val="הערת שוליים תו"/>
    <w:basedOn w:val="a0"/>
    <w:link w:val="af2"/>
    <w:rsid w:val="00B3202C"/>
    <w:rPr>
      <w:szCs w:val="20"/>
    </w:rPr>
  </w:style>
  <w:style w:type="paragraph" w:styleId="af4">
    <w:name w:val="List Paragraph"/>
    <w:basedOn w:val="a"/>
    <w:uiPriority w:val="34"/>
    <w:qFormat/>
    <w:rsid w:val="0009455F"/>
    <w:pPr>
      <w:ind w:left="720"/>
      <w:contextualSpacing/>
    </w:pPr>
  </w:style>
  <w:style w:type="table" w:styleId="af5">
    <w:name w:val="Table Grid"/>
    <w:basedOn w:val="a1"/>
    <w:uiPriority w:val="39"/>
    <w:rsid w:val="0009455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1889</TotalTime>
  <Pages>2</Pages>
  <Words>918</Words>
  <Characters>4595</Characters>
  <Application>Microsoft Office Word</Application>
  <DocSecurity>0</DocSecurity>
  <Lines>38</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64</cp:revision>
  <dcterms:created xsi:type="dcterms:W3CDTF">2022-05-18T09:01:00Z</dcterms:created>
  <dcterms:modified xsi:type="dcterms:W3CDTF">2022-05-20T04:07:00Z</dcterms:modified>
</cp:coreProperties>
</file>