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9E953" w14:textId="4A95F1B4" w:rsidR="00A71461" w:rsidRDefault="000A1AD7" w:rsidP="000A1AD7">
      <w:pPr>
        <w:pStyle w:val="1"/>
        <w:rPr>
          <w:rtl/>
        </w:rPr>
      </w:pPr>
      <w:r>
        <w:rPr>
          <w:rFonts w:hint="cs"/>
          <w:rtl/>
        </w:rPr>
        <w:t>טלאים כדמעיקרא</w:t>
      </w:r>
      <w:r w:rsidR="00807C49">
        <w:rPr>
          <w:rFonts w:hint="cs"/>
          <w:rtl/>
        </w:rPr>
        <w:t>,</w:t>
      </w:r>
      <w:r>
        <w:rPr>
          <w:rFonts w:hint="cs"/>
          <w:rtl/>
        </w:rPr>
        <w:t xml:space="preserve"> דמים כשל עכשיו</w:t>
      </w:r>
    </w:p>
    <w:p w14:paraId="19483353" w14:textId="1198BABE" w:rsidR="000A1AD7" w:rsidRDefault="000A1AD7" w:rsidP="000A1AD7">
      <w:pPr>
        <w:rPr>
          <w:rtl/>
        </w:rPr>
      </w:pPr>
      <w:r>
        <w:rPr>
          <w:rFonts w:hint="cs"/>
          <w:rtl/>
        </w:rPr>
        <w:t>הגמרא</w:t>
      </w:r>
      <w:r>
        <w:rPr>
          <w:rStyle w:val="ab"/>
          <w:rtl/>
        </w:rPr>
        <w:footnoteReference w:id="1"/>
      </w:r>
      <w:r>
        <w:rPr>
          <w:rFonts w:hint="cs"/>
          <w:rtl/>
        </w:rPr>
        <w:t xml:space="preserve"> מציעה להביא מהברייתא קושיה על רב, שאמר רב "קרן כעין שגנב משלם כפל ודו"ה כשעת העמדה בדין", ובברייתא כתוב שמשלם </w:t>
      </w:r>
      <w:r w:rsidR="00807C49">
        <w:rPr>
          <w:rFonts w:hint="cs"/>
          <w:rtl/>
        </w:rPr>
        <w:t>כפל ודו"ה כעין שגנב</w:t>
      </w:r>
      <w:r>
        <w:rPr>
          <w:rFonts w:hint="cs"/>
          <w:rtl/>
        </w:rPr>
        <w:t>. רבא עונה על הסתירה ואומר "טלאים כדמעיקרא, דמים כשל עכשיו".</w:t>
      </w:r>
    </w:p>
    <w:p w14:paraId="6945339F" w14:textId="1B0A092E" w:rsidR="000A1AD7" w:rsidRDefault="000A1AD7" w:rsidP="000A1AD7">
      <w:pPr>
        <w:rPr>
          <w:rtl/>
        </w:rPr>
      </w:pPr>
      <w:r>
        <w:rPr>
          <w:rFonts w:hint="cs"/>
          <w:rtl/>
        </w:rPr>
        <w:t>יש מחלוקת בראשונים מהי כוונת הגמרא במשפט הזה.</w:t>
      </w:r>
    </w:p>
    <w:p w14:paraId="6298AE11" w14:textId="5E0F9476" w:rsidR="00A05852" w:rsidRDefault="000A1AD7" w:rsidP="00A05852">
      <w:pPr>
        <w:rPr>
          <w:rtl/>
        </w:rPr>
      </w:pPr>
      <w:r>
        <w:rPr>
          <w:rFonts w:hint="cs"/>
          <w:rtl/>
        </w:rPr>
        <w:t>רש"י</w:t>
      </w:r>
      <w:r w:rsidR="00357384">
        <w:rPr>
          <w:rStyle w:val="ab"/>
          <w:rtl/>
        </w:rPr>
        <w:footnoteReference w:id="2"/>
      </w:r>
      <w:r>
        <w:rPr>
          <w:rFonts w:hint="cs"/>
          <w:rtl/>
        </w:rPr>
        <w:t xml:space="preserve"> אומר שאם הוא בא לשלם עם טלאים</w:t>
      </w:r>
      <w:r w:rsidR="00807C49">
        <w:rPr>
          <w:rStyle w:val="ab"/>
          <w:rtl/>
        </w:rPr>
        <w:footnoteReference w:id="3"/>
      </w:r>
      <w:r>
        <w:rPr>
          <w:rFonts w:hint="cs"/>
          <w:rtl/>
        </w:rPr>
        <w:t>, משלם כמו בהתחלה, אבל אם משלם כסף משלם כדהשתא.</w:t>
      </w:r>
      <w:r w:rsidR="00A05852">
        <w:rPr>
          <w:rFonts w:hint="cs"/>
          <w:rtl/>
        </w:rPr>
        <w:t xml:space="preserve"> לכאורה אין בזה היגיון כי אדם יכול ללכת ולקנות טלאים עם הכסף שיש לו, ולשלם פחות.</w:t>
      </w:r>
    </w:p>
    <w:p w14:paraId="410CE3BD" w14:textId="1184BBD6" w:rsidR="00A05852" w:rsidRDefault="00A05852" w:rsidP="00A05852">
      <w:pPr>
        <w:rPr>
          <w:rtl/>
        </w:rPr>
      </w:pPr>
      <w:r>
        <w:rPr>
          <w:rFonts w:hint="cs"/>
          <w:rtl/>
        </w:rPr>
        <w:t>ר"י</w:t>
      </w:r>
      <w:r w:rsidR="00357384">
        <w:rPr>
          <w:rStyle w:val="ab"/>
          <w:rtl/>
        </w:rPr>
        <w:footnoteReference w:id="4"/>
      </w:r>
      <w:r>
        <w:rPr>
          <w:rFonts w:hint="cs"/>
          <w:rtl/>
        </w:rPr>
        <w:t xml:space="preserve"> אומר שבמקרה של טלה ונעשה איל או שמנה והכחישה</w:t>
      </w:r>
      <w:r w:rsidR="00A13FA0">
        <w:rPr>
          <w:rFonts w:hint="cs"/>
          <w:rtl/>
        </w:rPr>
        <w:t xml:space="preserve"> וכו'</w:t>
      </w:r>
      <w:r>
        <w:rPr>
          <w:rFonts w:hint="cs"/>
          <w:rtl/>
        </w:rPr>
        <w:t>, שהשינויים הם בגוף הגניבה, משלם כדמעיקרא. וכאשר שווי השוק של הבהמה השתנה ("יוקרא וזולא"), משלם כדהשתא.</w:t>
      </w:r>
    </w:p>
    <w:p w14:paraId="5A8AB69D" w14:textId="56456A24" w:rsidR="00A05852" w:rsidRDefault="00A05852" w:rsidP="00A05852">
      <w:pPr>
        <w:rPr>
          <w:rtl/>
        </w:rPr>
      </w:pPr>
      <w:r>
        <w:rPr>
          <w:rFonts w:hint="cs"/>
          <w:rtl/>
        </w:rPr>
        <w:t>המרחשת</w:t>
      </w:r>
      <w:r w:rsidR="00736386">
        <w:rPr>
          <w:rStyle w:val="ab"/>
          <w:rtl/>
        </w:rPr>
        <w:footnoteReference w:id="5"/>
      </w:r>
      <w:r>
        <w:rPr>
          <w:rFonts w:hint="cs"/>
          <w:rtl/>
        </w:rPr>
        <w:t xml:space="preserve"> מבאר את החילוק בין התפטמה מאליה לבין יוקרא וזולא.</w:t>
      </w:r>
      <w:r w:rsidR="00825057">
        <w:rPr>
          <w:rFonts w:hint="cs"/>
          <w:rtl/>
        </w:rPr>
        <w:t xml:space="preserve"> כאשר הבהמה התפטמה, נוסף לה שומן שלא היה קיים בשעת הגניבה, לכן לא שייך לשלם עליו כפל, </w:t>
      </w:r>
      <w:r w:rsidR="00825057" w:rsidRPr="00A13FA0">
        <w:rPr>
          <w:rFonts w:hint="cs"/>
          <w:u w:val="single"/>
          <w:rtl/>
        </w:rPr>
        <w:t>כי הגנב לא גנב את השומן הנוסף</w:t>
      </w:r>
      <w:r w:rsidR="00825057">
        <w:rPr>
          <w:rFonts w:hint="cs"/>
          <w:rtl/>
        </w:rPr>
        <w:t>. ביוקרא וזולא, מדובר על אותו חפץ ולכן משלם כשעת העמדה בדין</w:t>
      </w:r>
      <w:r w:rsidR="004623D5">
        <w:rPr>
          <w:rFonts w:hint="cs"/>
          <w:rtl/>
        </w:rPr>
        <w:t xml:space="preserve"> (הוא מדבר רק על שינוי של שבח ולא הכחשה).</w:t>
      </w:r>
    </w:p>
    <w:p w14:paraId="021FB221" w14:textId="492D2C51" w:rsidR="00663493" w:rsidRDefault="00F856A3" w:rsidP="00C50235">
      <w:pPr>
        <w:rPr>
          <w:rtl/>
        </w:rPr>
      </w:pPr>
      <w:r>
        <w:rPr>
          <w:rFonts w:hint="cs"/>
          <w:rtl/>
        </w:rPr>
        <w:t>אדם שגנב וטו"מ</w:t>
      </w:r>
      <w:r w:rsidR="00420230">
        <w:rPr>
          <w:rFonts w:hint="cs"/>
          <w:rtl/>
        </w:rPr>
        <w:t xml:space="preserve"> בהמה שהייתה שמנה והכחישה, צריך לשלם כשעת הגניבה. לכאורה זה מוזר כי הוא טבח את הבהמה כאשר היא הייתה כחושה.</w:t>
      </w:r>
    </w:p>
    <w:p w14:paraId="6FFEA6A2" w14:textId="4F235712" w:rsidR="00663493" w:rsidRDefault="00420230" w:rsidP="00A05852">
      <w:pPr>
        <w:rPr>
          <w:rtl/>
        </w:rPr>
      </w:pPr>
      <w:r>
        <w:rPr>
          <w:rFonts w:hint="cs"/>
          <w:rtl/>
        </w:rPr>
        <w:t>ר' אלחנן</w:t>
      </w:r>
      <w:r w:rsidR="00093626">
        <w:rPr>
          <w:rStyle w:val="ab"/>
          <w:rtl/>
        </w:rPr>
        <w:footnoteReference w:id="6"/>
      </w:r>
      <w:r>
        <w:rPr>
          <w:rFonts w:hint="cs"/>
          <w:rtl/>
        </w:rPr>
        <w:t xml:space="preserve"> אומר </w:t>
      </w:r>
      <w:r w:rsidR="00663493">
        <w:rPr>
          <w:rFonts w:hint="cs"/>
          <w:rtl/>
        </w:rPr>
        <w:t xml:space="preserve">שטו"מ זה תנאי, אם בסוף הוא טבח את הדבר הנגנב צריך לשלם דו"ה </w:t>
      </w:r>
      <w:r w:rsidR="00663493" w:rsidRPr="00663493">
        <w:rPr>
          <w:rFonts w:hint="cs"/>
          <w:u w:val="single"/>
          <w:rtl/>
        </w:rPr>
        <w:t>על הגניבה</w:t>
      </w:r>
      <w:r w:rsidR="00663493">
        <w:rPr>
          <w:rFonts w:hint="cs"/>
          <w:rtl/>
        </w:rPr>
        <w:t>.</w:t>
      </w:r>
    </w:p>
    <w:p w14:paraId="337F152A" w14:textId="4D75E7B6" w:rsidR="00357384" w:rsidRDefault="00357384" w:rsidP="00A05852">
      <w:pPr>
        <w:rPr>
          <w:rtl/>
        </w:rPr>
      </w:pPr>
      <w:r>
        <w:rPr>
          <w:rFonts w:hint="cs"/>
          <w:rtl/>
        </w:rPr>
        <w:t>תור"פ אומר שאפילו שזה לא נחשב לשינוי לעניין קניין, זה נחשב שינוי לעניין הדין של רב, שמשלם כפל ודו"ה כשעת העמדה לדין.</w:t>
      </w:r>
    </w:p>
    <w:p w14:paraId="3F4716F2" w14:textId="1ED2CD2A" w:rsidR="00357384" w:rsidRDefault="00357384" w:rsidP="00A05852">
      <w:pPr>
        <w:rPr>
          <w:rtl/>
        </w:rPr>
      </w:pPr>
      <w:r>
        <w:rPr>
          <w:rFonts w:hint="cs"/>
          <w:rtl/>
        </w:rPr>
        <w:t>גם הרמב"ן, הולך עם שיטת הר"י. הוא אומר שטלאים כדמעיקרא, לגבי הלכתא דרב נחשב לשינוי.</w:t>
      </w:r>
    </w:p>
    <w:p w14:paraId="4B9A426B" w14:textId="77777777" w:rsidR="00EB386E" w:rsidRDefault="00EB386E" w:rsidP="00EB386E">
      <w:pPr>
        <w:rPr>
          <w:rtl/>
        </w:rPr>
      </w:pPr>
      <w:r>
        <w:rPr>
          <w:rFonts w:hint="cs"/>
          <w:rtl/>
        </w:rPr>
        <w:t>גם הרמב"ם בהל' גניבה</w:t>
      </w:r>
      <w:r>
        <w:rPr>
          <w:rStyle w:val="ab"/>
          <w:rtl/>
        </w:rPr>
        <w:footnoteReference w:id="7"/>
      </w:r>
      <w:r>
        <w:rPr>
          <w:rFonts w:hint="cs"/>
          <w:rtl/>
        </w:rPr>
        <w:t xml:space="preserve"> כותב כך (כמו ר"י):</w:t>
      </w:r>
    </w:p>
    <w:p w14:paraId="5F3B7ADF" w14:textId="3E6DBBDA" w:rsidR="00880672" w:rsidRPr="00880672" w:rsidRDefault="00880672" w:rsidP="00831E51">
      <w:pPr>
        <w:ind w:left="720"/>
        <w:rPr>
          <w:rtl/>
        </w:rPr>
      </w:pPr>
      <w:r w:rsidRPr="00880672">
        <w:rPr>
          <w:rtl/>
        </w:rPr>
        <w:t xml:space="preserve">גנב בהמה או כלי וכיוצא בהן ובשעת הגניבה היה שוה ארבעה ועכשיו בשעת העמדה בדין שוה שנים </w:t>
      </w:r>
      <w:r w:rsidRPr="00831E51">
        <w:rPr>
          <w:u w:val="single"/>
          <w:rtl/>
        </w:rPr>
        <w:t xml:space="preserve">משלם קרן כשעת הגניבה ותשלומי כפל או ארבעה וחמשה כשעת העמדה בדין. </w:t>
      </w:r>
    </w:p>
    <w:p w14:paraId="7DFFE1C8" w14:textId="62D57D8F" w:rsidR="000B3ACC" w:rsidRDefault="00831E51" w:rsidP="000B3ACC">
      <w:pPr>
        <w:rPr>
          <w:rtl/>
        </w:rPr>
      </w:pPr>
      <w:r>
        <w:rPr>
          <w:rFonts w:hint="cs"/>
          <w:rtl/>
        </w:rPr>
        <w:t>כפי שנאמר בשיעור כללי "בעניין תברא או שתייה וקרן כעין שגנב"</w:t>
      </w:r>
      <w:r w:rsidR="000B3ACC">
        <w:rPr>
          <w:rFonts w:hint="cs"/>
          <w:rtl/>
        </w:rPr>
        <w:t>, הקצות אומר שהוא חייב מדין מזיק והנתיבות אומר שהוא חייב מדין גזלן.</w:t>
      </w:r>
    </w:p>
    <w:p w14:paraId="5239C12A" w14:textId="18583662" w:rsidR="000B3ACC" w:rsidRDefault="000B3ACC" w:rsidP="000B3ACC">
      <w:pPr>
        <w:rPr>
          <w:rtl/>
        </w:rPr>
      </w:pPr>
      <w:r>
        <w:rPr>
          <w:rFonts w:hint="cs"/>
          <w:rtl/>
        </w:rPr>
        <w:t>בהל' גזילה ואבידה</w:t>
      </w:r>
      <w:r>
        <w:rPr>
          <w:rStyle w:val="ab"/>
          <w:rtl/>
        </w:rPr>
        <w:footnoteReference w:id="8"/>
      </w:r>
      <w:r>
        <w:rPr>
          <w:rFonts w:hint="cs"/>
          <w:rtl/>
        </w:rPr>
        <w:t xml:space="preserve"> הרמב"ם מוסיף על דברי רב, לגבי תברא או שתייה, שני מקרים שלא כתובים בגמרא </w:t>
      </w:r>
      <w:r>
        <w:rPr>
          <w:rtl/>
        </w:rPr>
        <w:t>–</w:t>
      </w:r>
      <w:r>
        <w:rPr>
          <w:rFonts w:hint="cs"/>
          <w:rtl/>
        </w:rPr>
        <w:t xml:space="preserve"> "</w:t>
      </w:r>
      <w:r w:rsidRPr="00F300E5">
        <w:rPr>
          <w:rFonts w:hint="cs"/>
          <w:u w:val="single"/>
          <w:rtl/>
        </w:rPr>
        <w:t>או מכרה או נתנה במתנה</w:t>
      </w:r>
      <w:r>
        <w:rPr>
          <w:rFonts w:hint="cs"/>
          <w:rtl/>
        </w:rPr>
        <w:t>".</w:t>
      </w:r>
    </w:p>
    <w:p w14:paraId="006F3F58" w14:textId="7AD81FFD" w:rsidR="00917598" w:rsidRDefault="00917598" w:rsidP="00F300E5">
      <w:pPr>
        <w:rPr>
          <w:rtl/>
        </w:rPr>
      </w:pPr>
      <w:r>
        <w:rPr>
          <w:rFonts w:hint="cs"/>
          <w:rtl/>
        </w:rPr>
        <w:t>למעשה, אם הוא ימכור או ייתן במתנה אחרי ייאוש, הוא אכן קנה. כי היה ייאוש ושינוי רשות. אבל הרמב"ם לא עושה חילוק בין ייאוש לבין לא ייאוש, משמע שזה לא משנה</w:t>
      </w:r>
      <w:r w:rsidR="00F300E5">
        <w:rPr>
          <w:rFonts w:hint="cs"/>
          <w:rtl/>
        </w:rPr>
        <w:t>.</w:t>
      </w:r>
    </w:p>
    <w:p w14:paraId="6EA9AB96" w14:textId="58682486" w:rsidR="00C33F05" w:rsidRDefault="00F300E5" w:rsidP="00EE6D5D">
      <w:pPr>
        <w:tabs>
          <w:tab w:val="left" w:pos="6506"/>
        </w:tabs>
        <w:rPr>
          <w:rtl/>
        </w:rPr>
      </w:pPr>
      <w:r>
        <w:rPr>
          <w:rFonts w:hint="cs"/>
          <w:rtl/>
        </w:rPr>
        <w:t xml:space="preserve">לפיכך, </w:t>
      </w:r>
      <w:r w:rsidR="00C33F05">
        <w:rPr>
          <w:rFonts w:hint="cs"/>
          <w:rtl/>
        </w:rPr>
        <w:t>בפשטות</w:t>
      </w:r>
      <w:r>
        <w:rPr>
          <w:rFonts w:hint="cs"/>
          <w:rtl/>
        </w:rPr>
        <w:t>,</w:t>
      </w:r>
      <w:r w:rsidR="00C33F05">
        <w:rPr>
          <w:rFonts w:hint="cs"/>
          <w:rtl/>
        </w:rPr>
        <w:t xml:space="preserve"> הרמב"ם לא לומד כמו הקצות ולא כמו הנתיבות</w:t>
      </w:r>
      <w:r w:rsidR="00EE6D5D">
        <w:rPr>
          <w:rFonts w:hint="cs"/>
          <w:rtl/>
        </w:rPr>
        <w:t>, הוא לא סובר שהיה פה דין מזיק או דין גזלן.</w:t>
      </w:r>
    </w:p>
    <w:p w14:paraId="2542C207" w14:textId="7334D9B9" w:rsidR="00640F99" w:rsidRDefault="00640F99" w:rsidP="00917598">
      <w:pPr>
        <w:rPr>
          <w:rtl/>
        </w:rPr>
      </w:pPr>
      <w:r>
        <w:rPr>
          <w:rFonts w:hint="cs"/>
          <w:rtl/>
        </w:rPr>
        <w:t>ר' חיים אומר שהחיוב הוא מדין מזיק, והתשלום הוא מדין גנב. אבל אין כאן מזיק, אז גם אין גנב.</w:t>
      </w:r>
    </w:p>
    <w:p w14:paraId="4D918A96" w14:textId="6A063364" w:rsidR="00F25D31" w:rsidRDefault="00F25D31" w:rsidP="00917598">
      <w:pPr>
        <w:rPr>
          <w:rtl/>
        </w:rPr>
      </w:pPr>
      <w:r>
        <w:rPr>
          <w:rFonts w:hint="cs"/>
          <w:rtl/>
        </w:rPr>
        <w:t xml:space="preserve">הר"י מלוניל כותב על המשנה השנייה, "אין הגונב אחר הגנב משלם תשלומי כפל, כלומר לגנב ראשון", שזה לא משנה אם מדובר על לפני ייאוש או אחרי ייאוש, כי החילוק בייאוש הוא רק בלוקח </w:t>
      </w:r>
      <w:r>
        <w:rPr>
          <w:rFonts w:hint="cs"/>
          <w:rtl/>
        </w:rPr>
        <w:lastRenderedPageBreak/>
        <w:t>בהיתר, אבל בגניבה הוא לקח באיסור ולכן זה לא משנה. כמו כן הוא אומר שאם טבחו ומכרו גם לא משלם דו"ה, כי "וגונב מבית האיש". משמע שהדרשה הזאת מדברת גם על דו"ה ולא רק על כפל.</w:t>
      </w:r>
    </w:p>
    <w:p w14:paraId="0AEE60B1" w14:textId="2EF57A78" w:rsidR="00F25D31" w:rsidRDefault="00F25D31" w:rsidP="00917598">
      <w:pPr>
        <w:rPr>
          <w:rtl/>
        </w:rPr>
      </w:pPr>
      <w:r>
        <w:rPr>
          <w:rFonts w:hint="cs"/>
          <w:rtl/>
        </w:rPr>
        <w:t xml:space="preserve">זה תמוה, כי לא שייך לשלם דו"ה במקום שאין בו כפל, כי יש דרשה שאומרת שדו"ה אמר רחמנא ולא </w:t>
      </w:r>
      <w:r w:rsidR="000848FB">
        <w:rPr>
          <w:rFonts w:hint="cs"/>
          <w:rtl/>
        </w:rPr>
        <w:t>ג' וד' (להלן: גו"ד)</w:t>
      </w:r>
      <w:r>
        <w:rPr>
          <w:rFonts w:hint="cs"/>
          <w:rtl/>
        </w:rPr>
        <w:t>.</w:t>
      </w:r>
    </w:p>
    <w:p w14:paraId="6B86C06A" w14:textId="779454DB" w:rsidR="00E862B1" w:rsidRDefault="00E862B1" w:rsidP="00917598">
      <w:pPr>
        <w:rPr>
          <w:rtl/>
        </w:rPr>
      </w:pPr>
      <w:r>
        <w:rPr>
          <w:rFonts w:hint="cs"/>
          <w:rtl/>
        </w:rPr>
        <w:t>גם התורת כהנים,</w:t>
      </w:r>
      <w:r w:rsidR="002A7B93">
        <w:rPr>
          <w:rFonts w:hint="cs"/>
          <w:rtl/>
        </w:rPr>
        <w:t xml:space="preserve"> מביא דרשה לגבי </w:t>
      </w:r>
      <w:r w:rsidR="00ED5301">
        <w:rPr>
          <w:rFonts w:hint="cs"/>
          <w:rtl/>
        </w:rPr>
        <w:t xml:space="preserve">מה שכתוב בתורה </w:t>
      </w:r>
      <w:r w:rsidR="002A7B93">
        <w:rPr>
          <w:rFonts w:hint="cs"/>
          <w:rtl/>
        </w:rPr>
        <w:t xml:space="preserve">"בראשו", בראשו הוא משלם ולא משלם כפל </w:t>
      </w:r>
      <w:r w:rsidR="002A7B93" w:rsidRPr="002A7B93">
        <w:rPr>
          <w:rFonts w:hint="cs"/>
          <w:u w:val="single"/>
          <w:rtl/>
        </w:rPr>
        <w:t>ודו"ה</w:t>
      </w:r>
      <w:r w:rsidR="002A7B93" w:rsidRPr="002A7B93">
        <w:rPr>
          <w:rFonts w:hint="cs"/>
          <w:rtl/>
        </w:rPr>
        <w:t>.</w:t>
      </w:r>
      <w:r>
        <w:rPr>
          <w:rFonts w:hint="cs"/>
          <w:rtl/>
        </w:rPr>
        <w:t xml:space="preserve"> והר"ש משאנץ כותב שבמקום שאין כפל </w:t>
      </w:r>
      <w:r w:rsidR="007B78B9">
        <w:rPr>
          <w:rFonts w:hint="cs"/>
          <w:rtl/>
        </w:rPr>
        <w:t>מובן</w:t>
      </w:r>
      <w:r>
        <w:rPr>
          <w:rFonts w:hint="cs"/>
          <w:rtl/>
        </w:rPr>
        <w:t xml:space="preserve"> שאין דו"ה כי התורה לא חייבה בגו"ד</w:t>
      </w:r>
      <w:r w:rsidR="00F04A3E">
        <w:rPr>
          <w:rFonts w:hint="cs"/>
          <w:rtl/>
        </w:rPr>
        <w:t>.</w:t>
      </w:r>
    </w:p>
    <w:p w14:paraId="3B6ECB5E" w14:textId="7695F03A" w:rsidR="00F04A3E" w:rsidRDefault="00F04A3E" w:rsidP="00917598">
      <w:pPr>
        <w:rPr>
          <w:rtl/>
        </w:rPr>
      </w:pPr>
      <w:r w:rsidRPr="00F04A3E">
        <w:rPr>
          <w:rFonts w:hint="cs"/>
          <w:u w:val="single"/>
          <w:rtl/>
        </w:rPr>
        <w:t xml:space="preserve">טביחה ומכירה </w:t>
      </w:r>
      <w:r w:rsidR="00CB72A2">
        <w:rPr>
          <w:rFonts w:hint="cs"/>
          <w:u w:val="single"/>
          <w:rtl/>
        </w:rPr>
        <w:t>היא הגורם המחייב</w:t>
      </w:r>
      <w:r w:rsidRPr="00F04A3E">
        <w:rPr>
          <w:rFonts w:hint="cs"/>
          <w:u w:val="single"/>
          <w:rtl/>
        </w:rPr>
        <w:t xml:space="preserve"> בדו"ה</w:t>
      </w:r>
      <w:r>
        <w:rPr>
          <w:rFonts w:hint="cs"/>
          <w:rtl/>
        </w:rPr>
        <w:t xml:space="preserve">, לא בגלל החיוב על הכפל. לכאורה </w:t>
      </w:r>
      <w:r w:rsidR="00A93004">
        <w:rPr>
          <w:rFonts w:hint="cs"/>
          <w:rtl/>
        </w:rPr>
        <w:t xml:space="preserve">גם </w:t>
      </w:r>
      <w:r>
        <w:rPr>
          <w:rFonts w:hint="cs"/>
          <w:rtl/>
        </w:rPr>
        <w:t xml:space="preserve">במקום שאין כפל </w:t>
      </w:r>
      <w:r w:rsidR="00A93004">
        <w:rPr>
          <w:rFonts w:hint="cs"/>
          <w:rtl/>
        </w:rPr>
        <w:t xml:space="preserve">היה </w:t>
      </w:r>
      <w:r>
        <w:rPr>
          <w:rFonts w:hint="cs"/>
          <w:rtl/>
        </w:rPr>
        <w:t>צריך לשלם דו"ה, אבל פשוט אין מצב שבו זה קורה.</w:t>
      </w:r>
    </w:p>
    <w:p w14:paraId="36B3537A" w14:textId="015FB8A2" w:rsidR="00A93004" w:rsidRDefault="0026166E" w:rsidP="00917598">
      <w:pPr>
        <w:rPr>
          <w:rtl/>
        </w:rPr>
      </w:pPr>
      <w:r>
        <w:rPr>
          <w:rFonts w:hint="cs"/>
          <w:rtl/>
        </w:rPr>
        <w:t>במכילתא כתוב שאולי גם הטובח והמוכר היה צריך לשלם כפל, אלא הכתוב הוציאו מכללו להחמיר עליו לשלם דו"ה.</w:t>
      </w:r>
    </w:p>
    <w:p w14:paraId="503ADD6B" w14:textId="6D0BC695" w:rsidR="0026166E" w:rsidRDefault="0026166E" w:rsidP="00F300E5">
      <w:pPr>
        <w:rPr>
          <w:rtl/>
        </w:rPr>
      </w:pPr>
      <w:r>
        <w:rPr>
          <w:rFonts w:hint="cs"/>
          <w:rtl/>
        </w:rPr>
        <w:t>המלבי"ם אומר שלכאורה היה צריך לכתוב ההפך, קודם את הדין של כפל בגנב ואח"כ את דו"ה בטו"מ. אלא המכילתא רצה לרבות גם את טוען טענת גנב, ש</w:t>
      </w:r>
      <w:r w:rsidR="00F300E5">
        <w:rPr>
          <w:rFonts w:hint="cs"/>
          <w:rtl/>
        </w:rPr>
        <w:t xml:space="preserve">באופן תאורטי </w:t>
      </w:r>
      <w:r w:rsidRPr="00AF0F93">
        <w:rPr>
          <w:rFonts w:hint="cs"/>
          <w:u w:val="single"/>
          <w:rtl/>
        </w:rPr>
        <w:t>פטור מכפל וחייב בדו"ה</w:t>
      </w:r>
      <w:r>
        <w:rPr>
          <w:rFonts w:hint="cs"/>
          <w:rtl/>
        </w:rPr>
        <w:t xml:space="preserve">. לכן המכילתא כתב קודם את הדין של דו"ה, כי </w:t>
      </w:r>
      <w:r w:rsidRPr="00783B74">
        <w:rPr>
          <w:rFonts w:hint="cs"/>
          <w:u w:val="single"/>
          <w:rtl/>
        </w:rPr>
        <w:t>אין לו קשר לכפל</w:t>
      </w:r>
      <w:r>
        <w:rPr>
          <w:rFonts w:hint="cs"/>
          <w:rtl/>
        </w:rPr>
        <w:t>.</w:t>
      </w:r>
    </w:p>
    <w:p w14:paraId="2E4667C6" w14:textId="4780B495" w:rsidR="009011CD" w:rsidRDefault="009011CD" w:rsidP="00131E86">
      <w:pPr>
        <w:rPr>
          <w:rtl/>
        </w:rPr>
      </w:pPr>
      <w:r>
        <w:rPr>
          <w:rFonts w:hint="cs"/>
          <w:rtl/>
        </w:rPr>
        <w:t>אבל יש בעיה עם הגישה הזאת. בהקדש, ממעטים תשלומי כפל. אז אם כפל ודו"ה זה שני דינים שאינם קשורים, לכאורה היה צריך לשלם דו"ה כי רק כפל מיעטו מהקדש.</w:t>
      </w:r>
    </w:p>
    <w:p w14:paraId="2F9C86E1" w14:textId="00B31DFF" w:rsidR="009011CD" w:rsidRDefault="009011CD" w:rsidP="00917598">
      <w:pPr>
        <w:rPr>
          <w:rtl/>
        </w:rPr>
      </w:pPr>
      <w:r>
        <w:rPr>
          <w:rFonts w:hint="cs"/>
          <w:rtl/>
        </w:rPr>
        <w:t>הרמב"ם מבין את ההלכה של הקדש אחרת מהגמרא:</w:t>
      </w:r>
    </w:p>
    <w:p w14:paraId="729277B8" w14:textId="113AFE50" w:rsidR="009011CD" w:rsidRDefault="009011CD" w:rsidP="00917598">
      <w:pPr>
        <w:rPr>
          <w:rtl/>
        </w:rPr>
      </w:pPr>
      <w:r>
        <w:rPr>
          <w:rtl/>
        </w:rPr>
        <w:tab/>
      </w:r>
      <w:r>
        <w:rPr>
          <w:rFonts w:hint="cs"/>
          <w:rtl/>
        </w:rPr>
        <w:t>גנב את הגוי או את ההקדש אינו נמכר על הקרן אלא הרי זה עליו חוב עד שיעשיר.</w:t>
      </w:r>
      <w:r w:rsidR="00EC2577">
        <w:rPr>
          <w:rStyle w:val="ab"/>
          <w:rtl/>
        </w:rPr>
        <w:footnoteReference w:id="9"/>
      </w:r>
    </w:p>
    <w:p w14:paraId="578A435E" w14:textId="12C7336D" w:rsidR="00C50131" w:rsidRDefault="00C50131" w:rsidP="00917598">
      <w:pPr>
        <w:rPr>
          <w:rtl/>
        </w:rPr>
      </w:pPr>
      <w:r>
        <w:rPr>
          <w:rFonts w:hint="cs"/>
          <w:rtl/>
        </w:rPr>
        <w:t>המנחת חינוך שואל מאיפה הרמב"ם הביא את הדין הזה, הרי הגמרא ממעטת רק על כפל, וגם אין מיעוט על מכירת עבד עברי.</w:t>
      </w:r>
    </w:p>
    <w:p w14:paraId="05850B59" w14:textId="08F6B307" w:rsidR="009011CD" w:rsidRDefault="00A2053D" w:rsidP="00917598">
      <w:pPr>
        <w:rPr>
          <w:rtl/>
        </w:rPr>
      </w:pPr>
      <w:r>
        <w:rPr>
          <w:rFonts w:hint="cs"/>
          <w:rtl/>
        </w:rPr>
        <w:t>אפשר לומר שזו הראייה שהרמב"ם הולך כמו המכילתא והתורת כהנים.</w:t>
      </w:r>
      <w:r w:rsidR="00A243D2">
        <w:rPr>
          <w:rFonts w:hint="cs"/>
          <w:rtl/>
        </w:rPr>
        <w:t xml:space="preserve"> לא זאת הגניבה שהתורה מדברת עליה.</w:t>
      </w:r>
    </w:p>
    <w:p w14:paraId="62B92C82" w14:textId="446325C6" w:rsidR="0055561D" w:rsidRDefault="00A2053D" w:rsidP="0055561D">
      <w:pPr>
        <w:rPr>
          <w:rtl/>
        </w:rPr>
      </w:pPr>
      <w:r>
        <w:rPr>
          <w:rFonts w:hint="cs"/>
          <w:rtl/>
        </w:rPr>
        <w:t xml:space="preserve">נחזור לדברי הרמב"ם בגזילה </w:t>
      </w:r>
      <w:r>
        <w:rPr>
          <w:rtl/>
        </w:rPr>
        <w:t>–</w:t>
      </w:r>
      <w:r>
        <w:rPr>
          <w:rFonts w:hint="cs"/>
          <w:rtl/>
        </w:rPr>
        <w:t xml:space="preserve"> "או מכר או נתן במתנה", שמתחייב כדהשתא.</w:t>
      </w:r>
      <w:r w:rsidR="0055561D">
        <w:rPr>
          <w:rFonts w:hint="cs"/>
          <w:rtl/>
        </w:rPr>
        <w:t xml:space="preserve"> לפי מה שהבנו, שטו"מ מחייב לבד דו"ה, ניתן לומר שבמכירה</w:t>
      </w:r>
      <w:r w:rsidR="000B1441">
        <w:rPr>
          <w:rFonts w:hint="cs"/>
          <w:rtl/>
        </w:rPr>
        <w:t xml:space="preserve"> או ב</w:t>
      </w:r>
      <w:r w:rsidR="005E29E4">
        <w:rPr>
          <w:rFonts w:hint="cs"/>
          <w:rtl/>
        </w:rPr>
        <w:t>נתינה במתנה</w:t>
      </w:r>
      <w:r w:rsidR="0055561D">
        <w:rPr>
          <w:rFonts w:hint="cs"/>
          <w:rtl/>
        </w:rPr>
        <w:t xml:space="preserve"> יש גניבה חדשה. לכן זה לא מתורת מזיק ולא מתורת גניבה, אלא </w:t>
      </w:r>
      <w:r w:rsidR="0055561D" w:rsidRPr="00793247">
        <w:rPr>
          <w:rFonts w:hint="cs"/>
          <w:u w:val="single"/>
          <w:rtl/>
        </w:rPr>
        <w:t>חיוב מחודש של טו"מ</w:t>
      </w:r>
      <w:r w:rsidR="0055561D">
        <w:rPr>
          <w:rFonts w:hint="cs"/>
          <w:rtl/>
        </w:rPr>
        <w:t>. לכן הרמב"ם הוסיף את מכירה או נתינה במתנה.</w:t>
      </w:r>
    </w:p>
    <w:p w14:paraId="7CF75460" w14:textId="75E4FB69" w:rsidR="0055561D" w:rsidRDefault="0055561D" w:rsidP="0055561D">
      <w:pPr>
        <w:rPr>
          <w:rtl/>
        </w:rPr>
      </w:pPr>
      <w:r>
        <w:rPr>
          <w:rFonts w:hint="cs"/>
          <w:rtl/>
        </w:rPr>
        <w:t>לפי הבבלי, דו"ה זה תוספת על הכפל. ברמב"ם זה לא כך. יש גניבה חדשה במכירה, שמחייבת ד'.</w:t>
      </w:r>
      <w:r w:rsidR="00131E86">
        <w:rPr>
          <w:rFonts w:hint="cs"/>
          <w:rtl/>
        </w:rPr>
        <w:t xml:space="preserve"> לכן משלם כדהשתא.</w:t>
      </w:r>
    </w:p>
    <w:p w14:paraId="79785510" w14:textId="041DD92F" w:rsidR="00A13FA0" w:rsidRDefault="00131E86" w:rsidP="00A13FA0">
      <w:pPr>
        <w:rPr>
          <w:rtl/>
        </w:rPr>
      </w:pPr>
      <w:r>
        <w:rPr>
          <w:rFonts w:hint="cs"/>
          <w:rtl/>
        </w:rPr>
        <w:t>כיוון שבמכירה יש שינוי רשות, זה נחשב לגניבה חדשה. עד עכשיו הייאוש לא הועיל, ועכשיו יש סוג חדש של ביטול של "והשיב". לפני כן הייאוש לא מהני, ועכשיו כאשר זה מועבר למישהו אחר אז שייך להגיד שיש ג</w:t>
      </w:r>
      <w:r w:rsidR="00A13FA0">
        <w:rPr>
          <w:rFonts w:hint="cs"/>
          <w:rtl/>
        </w:rPr>
        <w:t>ניבה חדשה. לכן הייאוש כן מועיל. הקצת שהיה לבעלים הראשונים גם זה הפסיק, ע"י מעשה המכירה או הנתינה.</w:t>
      </w:r>
    </w:p>
    <w:p w14:paraId="7EC2C204" w14:textId="509400A7" w:rsidR="00A13FA0" w:rsidRPr="000A1AD7" w:rsidRDefault="00A13FA0" w:rsidP="00A03C62">
      <w:pPr>
        <w:rPr>
          <w:rFonts w:hint="cs"/>
          <w:rtl/>
        </w:rPr>
      </w:pPr>
      <w:r>
        <w:rPr>
          <w:rFonts w:hint="cs"/>
          <w:rtl/>
        </w:rPr>
        <w:t>לפי זה אפשר להבין פשט בר"י.</w:t>
      </w:r>
      <w:r w:rsidR="00A03C62">
        <w:rPr>
          <w:rFonts w:hint="cs"/>
          <w:rtl/>
        </w:rPr>
        <w:t xml:space="preserve"> </w:t>
      </w:r>
      <w:r w:rsidR="00F40CCE">
        <w:rPr>
          <w:rFonts w:hint="cs"/>
          <w:rtl/>
        </w:rPr>
        <w:t xml:space="preserve">יש חילוק בין יוקרא וזולא לבין בגופא, כי ביוקרא וזולא אפשר לקיים את </w:t>
      </w:r>
      <w:r w:rsidR="00CB59B4">
        <w:rPr>
          <w:rFonts w:hint="cs"/>
          <w:rtl/>
        </w:rPr>
        <w:t>"</w:t>
      </w:r>
      <w:r w:rsidR="00F40CCE">
        <w:rPr>
          <w:rFonts w:hint="cs"/>
          <w:rtl/>
        </w:rPr>
        <w:t>והשיב</w:t>
      </w:r>
      <w:r w:rsidR="00CB59B4">
        <w:rPr>
          <w:rFonts w:hint="cs"/>
          <w:rtl/>
        </w:rPr>
        <w:t>"</w:t>
      </w:r>
      <w:r w:rsidR="00F40CCE">
        <w:rPr>
          <w:rFonts w:hint="cs"/>
          <w:rtl/>
        </w:rPr>
        <w:t xml:space="preserve"> אבל </w:t>
      </w:r>
      <w:r w:rsidR="002F0989">
        <w:rPr>
          <w:rFonts w:hint="cs"/>
          <w:rtl/>
        </w:rPr>
        <w:t xml:space="preserve">בשינוי </w:t>
      </w:r>
      <w:r w:rsidR="006D4F64">
        <w:rPr>
          <w:rFonts w:hint="cs"/>
          <w:rtl/>
        </w:rPr>
        <w:t>בגוף הבהמה</w:t>
      </w:r>
      <w:r w:rsidR="00F40CCE">
        <w:rPr>
          <w:rFonts w:hint="cs"/>
          <w:rtl/>
        </w:rPr>
        <w:t xml:space="preserve"> אין </w:t>
      </w:r>
      <w:r w:rsidR="00CB59B4">
        <w:rPr>
          <w:rFonts w:hint="cs"/>
          <w:rtl/>
        </w:rPr>
        <w:t>"</w:t>
      </w:r>
      <w:r w:rsidR="00F40CCE">
        <w:rPr>
          <w:rFonts w:hint="cs"/>
          <w:rtl/>
        </w:rPr>
        <w:t>והשיב</w:t>
      </w:r>
      <w:r w:rsidR="00CB59B4">
        <w:rPr>
          <w:rFonts w:hint="cs"/>
          <w:rtl/>
        </w:rPr>
        <w:t>"</w:t>
      </w:r>
      <w:r w:rsidR="00473CDF">
        <w:rPr>
          <w:rFonts w:hint="cs"/>
          <w:rtl/>
        </w:rPr>
        <w:t>,</w:t>
      </w:r>
      <w:r w:rsidR="00F40CCE">
        <w:rPr>
          <w:rFonts w:hint="cs"/>
          <w:rtl/>
        </w:rPr>
        <w:t xml:space="preserve"> ולכן במכירה יש גניבה חדשה ולכן משלם </w:t>
      </w:r>
      <w:r w:rsidR="000E3921">
        <w:rPr>
          <w:rFonts w:hint="cs"/>
          <w:rtl/>
        </w:rPr>
        <w:t>כדמעיקרא.</w:t>
      </w:r>
    </w:p>
    <w:sectPr w:rsidR="00A13FA0" w:rsidRPr="000A1AD7" w:rsidSect="00446D94">
      <w:headerReference w:type="even" r:id="rId6"/>
      <w:headerReference w:type="default" r:id="rId7"/>
      <w:footerReference w:type="even" r:id="rId8"/>
      <w:footerReference w:type="default" r:id="rId9"/>
      <w:headerReference w:type="first" r:id="rId10"/>
      <w:footerReference w:type="first" r:id="rId1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74CBF" w14:textId="77777777" w:rsidR="00FE068F" w:rsidRDefault="00FE068F" w:rsidP="00CD34AC">
      <w:pPr>
        <w:spacing w:after="0"/>
      </w:pPr>
      <w:r>
        <w:separator/>
      </w:r>
    </w:p>
  </w:endnote>
  <w:endnote w:type="continuationSeparator" w:id="0">
    <w:p w14:paraId="48A323BE" w14:textId="77777777" w:rsidR="00FE068F" w:rsidRDefault="00FE068F" w:rsidP="00CD34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dassah Friedlaender">
    <w:panose1 w:val="02020603050405020304"/>
    <w:charset w:val="00"/>
    <w:family w:val="roman"/>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Secular One">
    <w:panose1 w:val="00000500000000000000"/>
    <w:charset w:val="00"/>
    <w:family w:val="auto"/>
    <w:pitch w:val="variable"/>
    <w:sig w:usb0="00000807" w:usb1="40000000" w:usb2="00000000" w:usb3="00000000" w:csb0="000000B3" w:csb1="00000000"/>
  </w:font>
  <w:font w:name="Guttman Keren">
    <w:panose1 w:val="00000400000000000000"/>
    <w:charset w:val="B1"/>
    <w:family w:val="auto"/>
    <w:pitch w:val="variable"/>
    <w:sig w:usb0="00000801" w:usb1="40000000" w:usb2="00000000" w:usb3="00000000" w:csb0="00000020" w:csb1="00000000"/>
  </w:font>
  <w:font w:name="Times New Roman">
    <w:panose1 w:val="02020603050405020304"/>
    <w:charset w:val="00"/>
    <w:family w:val="roman"/>
    <w:pitch w:val="variable"/>
    <w:sig w:usb0="E0002EFF" w:usb1="C000785B" w:usb2="00000009" w:usb3="00000000" w:csb0="000001FF" w:csb1="00000000"/>
  </w:font>
  <w:font w:name="Suez One">
    <w:panose1 w:val="00000500000000000000"/>
    <w:charset w:val="00"/>
    <w:family w:val="auto"/>
    <w:pitch w:val="variable"/>
    <w:sig w:usb0="00000807" w:usb1="40000000" w:usb2="00000000" w:usb3="00000000" w:csb0="000000B3" w:csb1="00000000"/>
  </w:font>
  <w:font w:name="Shofar">
    <w:panose1 w:val="02000000000000000000"/>
    <w:charset w:val="00"/>
    <w:family w:val="auto"/>
    <w:pitch w:val="variable"/>
    <w:sig w:usb0="8000086F" w:usb1="4000204A" w:usb2="00000000" w:usb3="00000000" w:csb0="00000021" w:csb1="00000000"/>
  </w:font>
  <w:font w:name="Heebo">
    <w:panose1 w:val="00000500000000000000"/>
    <w:charset w:val="00"/>
    <w:family w:val="auto"/>
    <w:pitch w:val="variable"/>
    <w:sig w:usb0="00000803" w:usb1="40000001" w:usb2="00000000" w:usb3="00000000" w:csb0="00000021" w:csb1="00000000"/>
  </w:font>
  <w:font w:name="Heebo Medium">
    <w:panose1 w:val="00000600000000000000"/>
    <w:charset w:val="00"/>
    <w:family w:val="auto"/>
    <w:pitch w:val="variable"/>
    <w:sig w:usb0="00000803" w:usb1="40000001"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FFEB3" w14:textId="77777777" w:rsidR="00CD34AC" w:rsidRDefault="00CD34AC">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DAF65" w14:textId="77777777" w:rsidR="00CD34AC" w:rsidRDefault="00CD34AC">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6B296" w14:textId="77777777" w:rsidR="00CD34AC" w:rsidRDefault="00CD34A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61F22" w14:textId="77777777" w:rsidR="00FE068F" w:rsidRDefault="00FE068F" w:rsidP="00CD34AC">
      <w:pPr>
        <w:spacing w:after="0"/>
      </w:pPr>
      <w:r>
        <w:separator/>
      </w:r>
    </w:p>
  </w:footnote>
  <w:footnote w:type="continuationSeparator" w:id="0">
    <w:p w14:paraId="107AEAFE" w14:textId="77777777" w:rsidR="00FE068F" w:rsidRDefault="00FE068F" w:rsidP="00CD34AC">
      <w:pPr>
        <w:spacing w:after="0"/>
      </w:pPr>
      <w:r>
        <w:continuationSeparator/>
      </w:r>
    </w:p>
  </w:footnote>
  <w:footnote w:id="1">
    <w:p w14:paraId="4CB6F026" w14:textId="4E02DC2B" w:rsidR="000A1AD7" w:rsidRDefault="000A1AD7">
      <w:pPr>
        <w:pStyle w:val="a5"/>
        <w:rPr>
          <w:rFonts w:hint="cs"/>
        </w:rPr>
      </w:pPr>
      <w:r>
        <w:rPr>
          <w:rStyle w:val="ab"/>
        </w:rPr>
        <w:footnoteRef/>
      </w:r>
      <w:r>
        <w:rPr>
          <w:rtl/>
        </w:rPr>
        <w:t xml:space="preserve"> </w:t>
      </w:r>
      <w:r>
        <w:rPr>
          <w:rFonts w:hint="cs"/>
          <w:rtl/>
        </w:rPr>
        <w:t>סו.</w:t>
      </w:r>
    </w:p>
  </w:footnote>
  <w:footnote w:id="2">
    <w:p w14:paraId="1AB4C000" w14:textId="6E80983A" w:rsidR="00357384" w:rsidRDefault="00357384">
      <w:pPr>
        <w:pStyle w:val="a5"/>
        <w:rPr>
          <w:rFonts w:hint="cs"/>
          <w:rtl/>
        </w:rPr>
      </w:pPr>
      <w:r>
        <w:rPr>
          <w:rStyle w:val="ab"/>
        </w:rPr>
        <w:footnoteRef/>
      </w:r>
      <w:r>
        <w:rPr>
          <w:rtl/>
        </w:rPr>
        <w:t xml:space="preserve"> </w:t>
      </w:r>
      <w:r>
        <w:rPr>
          <w:rFonts w:hint="cs"/>
          <w:rtl/>
        </w:rPr>
        <w:t>ד"ה טלאים כדמעיקרא</w:t>
      </w:r>
    </w:p>
  </w:footnote>
  <w:footnote w:id="3">
    <w:p w14:paraId="16BF6343" w14:textId="7A44F36A" w:rsidR="00807C49" w:rsidRDefault="00807C49">
      <w:pPr>
        <w:pStyle w:val="a5"/>
        <w:rPr>
          <w:rFonts w:hint="cs"/>
        </w:rPr>
      </w:pPr>
      <w:r>
        <w:rPr>
          <w:rStyle w:val="ab"/>
        </w:rPr>
        <w:footnoteRef/>
      </w:r>
      <w:r>
        <w:rPr>
          <w:rtl/>
        </w:rPr>
        <w:t xml:space="preserve"> </w:t>
      </w:r>
      <w:r>
        <w:rPr>
          <w:rFonts w:hint="cs"/>
          <w:rtl/>
        </w:rPr>
        <w:t>כאילו טלה ברבים</w:t>
      </w:r>
    </w:p>
  </w:footnote>
  <w:footnote w:id="4">
    <w:p w14:paraId="45D28FBA" w14:textId="67253FB6" w:rsidR="00357384" w:rsidRDefault="00357384">
      <w:pPr>
        <w:pStyle w:val="a5"/>
        <w:rPr>
          <w:rFonts w:hint="cs"/>
          <w:rtl/>
        </w:rPr>
      </w:pPr>
      <w:r>
        <w:rPr>
          <w:rStyle w:val="ab"/>
        </w:rPr>
        <w:footnoteRef/>
      </w:r>
      <w:r>
        <w:rPr>
          <w:rtl/>
        </w:rPr>
        <w:t xml:space="preserve"> </w:t>
      </w:r>
      <w:r>
        <w:rPr>
          <w:rFonts w:hint="cs"/>
          <w:rtl/>
        </w:rPr>
        <w:t>תוד"ה טלאים כדמעיקרא</w:t>
      </w:r>
    </w:p>
  </w:footnote>
  <w:footnote w:id="5">
    <w:p w14:paraId="4005DA05" w14:textId="3A885FD6" w:rsidR="00736386" w:rsidRDefault="00736386">
      <w:pPr>
        <w:pStyle w:val="a5"/>
        <w:rPr>
          <w:rFonts w:hint="cs"/>
        </w:rPr>
      </w:pPr>
      <w:r>
        <w:rPr>
          <w:rStyle w:val="ab"/>
        </w:rPr>
        <w:footnoteRef/>
      </w:r>
      <w:r>
        <w:rPr>
          <w:rtl/>
        </w:rPr>
        <w:t xml:space="preserve"> </w:t>
      </w:r>
      <w:r>
        <w:rPr>
          <w:rFonts w:hint="cs"/>
          <w:rtl/>
        </w:rPr>
        <w:t>מרחשת קונטרס יאוש סי' ב'</w:t>
      </w:r>
    </w:p>
  </w:footnote>
  <w:footnote w:id="6">
    <w:p w14:paraId="323D7B9E" w14:textId="3A414ED5" w:rsidR="00093626" w:rsidRDefault="00093626">
      <w:pPr>
        <w:pStyle w:val="a5"/>
        <w:rPr>
          <w:rFonts w:hint="cs"/>
        </w:rPr>
      </w:pPr>
      <w:r>
        <w:rPr>
          <w:rStyle w:val="ab"/>
        </w:rPr>
        <w:footnoteRef/>
      </w:r>
      <w:r>
        <w:rPr>
          <w:rtl/>
        </w:rPr>
        <w:t xml:space="preserve"> </w:t>
      </w:r>
      <w:r>
        <w:rPr>
          <w:rFonts w:hint="cs"/>
          <w:rtl/>
        </w:rPr>
        <w:t>קובץ שיעורים ב"ק אות ג</w:t>
      </w:r>
    </w:p>
  </w:footnote>
  <w:footnote w:id="7">
    <w:p w14:paraId="77F2DFC7" w14:textId="33872B5E" w:rsidR="00EB386E" w:rsidRDefault="00EB386E" w:rsidP="00EB386E">
      <w:pPr>
        <w:pStyle w:val="a5"/>
        <w:rPr>
          <w:rFonts w:hint="cs"/>
        </w:rPr>
      </w:pPr>
      <w:r>
        <w:rPr>
          <w:rStyle w:val="ab"/>
        </w:rPr>
        <w:footnoteRef/>
      </w:r>
      <w:r>
        <w:rPr>
          <w:rtl/>
        </w:rPr>
        <w:t xml:space="preserve"> </w:t>
      </w:r>
      <w:r>
        <w:rPr>
          <w:rFonts w:hint="cs"/>
          <w:rtl/>
        </w:rPr>
        <w:t>פ"א הי"</w:t>
      </w:r>
      <w:r>
        <w:rPr>
          <w:rFonts w:hint="cs"/>
          <w:rtl/>
        </w:rPr>
        <w:t>ד</w:t>
      </w:r>
    </w:p>
  </w:footnote>
  <w:footnote w:id="8">
    <w:p w14:paraId="1DE64E08" w14:textId="5C3D6A64" w:rsidR="000B3ACC" w:rsidRDefault="000B3ACC" w:rsidP="000B3ACC">
      <w:pPr>
        <w:pStyle w:val="a5"/>
        <w:rPr>
          <w:rFonts w:hint="cs"/>
          <w:rtl/>
        </w:rPr>
      </w:pPr>
      <w:r>
        <w:rPr>
          <w:rStyle w:val="ab"/>
        </w:rPr>
        <w:footnoteRef/>
      </w:r>
      <w:r>
        <w:rPr>
          <w:rtl/>
        </w:rPr>
        <w:t xml:space="preserve"> </w:t>
      </w:r>
      <w:r>
        <w:rPr>
          <w:rFonts w:hint="cs"/>
          <w:rtl/>
        </w:rPr>
        <w:t>פ"ג ה"א</w:t>
      </w:r>
    </w:p>
  </w:footnote>
  <w:footnote w:id="9">
    <w:p w14:paraId="1F3B0826" w14:textId="2DBA3FD2" w:rsidR="00EC2577" w:rsidRDefault="00EC2577">
      <w:pPr>
        <w:pStyle w:val="a5"/>
        <w:rPr>
          <w:rFonts w:hint="cs"/>
          <w:rtl/>
        </w:rPr>
      </w:pPr>
      <w:r>
        <w:rPr>
          <w:rStyle w:val="ab"/>
        </w:rPr>
        <w:footnoteRef/>
      </w:r>
      <w:r>
        <w:rPr>
          <w:rtl/>
        </w:rPr>
        <w:t xml:space="preserve"> </w:t>
      </w:r>
      <w:r>
        <w:rPr>
          <w:rFonts w:hint="cs"/>
          <w:rtl/>
        </w:rPr>
        <w:t>הל' גניבה פ"ג הי"ג</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2071E" w14:textId="77777777" w:rsidR="00CD34AC" w:rsidRDefault="00CD34AC">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ED334" w14:textId="77777777" w:rsidR="00CD34AC" w:rsidRDefault="00CD34AC">
    <w:pPr>
      <w:pStyle w:val="a7"/>
    </w:pPr>
    <w:r>
      <w:rPr>
        <w:rFonts w:hint="cs"/>
        <w:rtl/>
      </w:rPr>
      <w:t>בס"ד</w:t>
    </w:r>
    <w:r>
      <w:rPr>
        <w:rtl/>
      </w:rPr>
      <w:ptab w:relativeTo="margin" w:alignment="right" w:leader="none"/>
    </w:r>
    <w:r>
      <w:rPr>
        <w:rtl/>
      </w:rPr>
      <w:fldChar w:fldCharType="begin"/>
    </w:r>
    <w:r>
      <w:rPr>
        <w:rtl/>
      </w:rPr>
      <w:instrText xml:space="preserve"> </w:instrText>
    </w:r>
    <w:r>
      <w:rPr>
        <w:rFonts w:hint="cs"/>
      </w:rPr>
      <w:instrText>DATE</w:instrText>
    </w:r>
    <w:r>
      <w:rPr>
        <w:rFonts w:hint="cs"/>
        <w:rtl/>
      </w:rPr>
      <w:instrText xml:space="preserve"> \@ "</w:instrText>
    </w:r>
    <w:r>
      <w:rPr>
        <w:rFonts w:hint="cs"/>
      </w:rPr>
      <w:instrText>dd MMMM yyyy" \h</w:instrText>
    </w:r>
    <w:r>
      <w:rPr>
        <w:rtl/>
      </w:rPr>
      <w:instrText xml:space="preserve"> </w:instrText>
    </w:r>
    <w:r>
      <w:rPr>
        <w:rtl/>
      </w:rPr>
      <w:fldChar w:fldCharType="separate"/>
    </w:r>
    <w:r w:rsidR="000A1AD7">
      <w:rPr>
        <w:rFonts w:ascii="Times New Roman" w:hAnsi="Times New Roman" w:cs="Times New Roman" w:hint="cs"/>
        <w:noProof/>
        <w:rtl/>
      </w:rPr>
      <w:t>‏</w:t>
    </w:r>
    <w:r w:rsidR="000A1AD7">
      <w:rPr>
        <w:rFonts w:hint="cs"/>
        <w:noProof/>
        <w:rtl/>
      </w:rPr>
      <w:t>כ</w:t>
    </w:r>
    <w:r w:rsidR="000A1AD7">
      <w:rPr>
        <w:noProof/>
        <w:rtl/>
      </w:rPr>
      <w:t>"</w:t>
    </w:r>
    <w:r w:rsidR="000A1AD7">
      <w:rPr>
        <w:rFonts w:hint="cs"/>
        <w:noProof/>
        <w:rtl/>
      </w:rPr>
      <w:t>ד</w:t>
    </w:r>
    <w:r w:rsidR="000A1AD7">
      <w:rPr>
        <w:noProof/>
        <w:rtl/>
      </w:rPr>
      <w:t xml:space="preserve"> </w:t>
    </w:r>
    <w:r w:rsidR="000A1AD7">
      <w:rPr>
        <w:rFonts w:hint="cs"/>
        <w:noProof/>
        <w:rtl/>
      </w:rPr>
      <w:t>אייר</w:t>
    </w:r>
    <w:r w:rsidR="000A1AD7">
      <w:rPr>
        <w:noProof/>
        <w:rtl/>
      </w:rPr>
      <w:t xml:space="preserve"> </w:t>
    </w:r>
    <w:r w:rsidR="000A1AD7">
      <w:rPr>
        <w:rFonts w:hint="cs"/>
        <w:noProof/>
        <w:rtl/>
      </w:rPr>
      <w:t>תשפ</w:t>
    </w:r>
    <w:r w:rsidR="000A1AD7">
      <w:rPr>
        <w:noProof/>
        <w:rtl/>
      </w:rPr>
      <w:t>"</w:t>
    </w:r>
    <w:r w:rsidR="000A1AD7">
      <w:rPr>
        <w:rFonts w:hint="cs"/>
        <w:noProof/>
        <w:rtl/>
      </w:rPr>
      <w:t>ב</w:t>
    </w:r>
    <w:r>
      <w:rPr>
        <w:rtl/>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96021" w14:textId="77777777" w:rsidR="00CD34AC" w:rsidRDefault="00CD34AC">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AD7"/>
    <w:rsid w:val="000848FB"/>
    <w:rsid w:val="00093626"/>
    <w:rsid w:val="000A1AD7"/>
    <w:rsid w:val="000B1441"/>
    <w:rsid w:val="000B3ACC"/>
    <w:rsid w:val="000E3921"/>
    <w:rsid w:val="00112892"/>
    <w:rsid w:val="00131E86"/>
    <w:rsid w:val="00147567"/>
    <w:rsid w:val="001B43E3"/>
    <w:rsid w:val="001F3942"/>
    <w:rsid w:val="0026166E"/>
    <w:rsid w:val="00264875"/>
    <w:rsid w:val="002A7B93"/>
    <w:rsid w:val="002F0989"/>
    <w:rsid w:val="00345EB8"/>
    <w:rsid w:val="00357384"/>
    <w:rsid w:val="003B1F41"/>
    <w:rsid w:val="003D0236"/>
    <w:rsid w:val="00420230"/>
    <w:rsid w:val="00446D94"/>
    <w:rsid w:val="004623D5"/>
    <w:rsid w:val="00473CDF"/>
    <w:rsid w:val="004875C1"/>
    <w:rsid w:val="004D146B"/>
    <w:rsid w:val="0055561D"/>
    <w:rsid w:val="005E29E4"/>
    <w:rsid w:val="006140F2"/>
    <w:rsid w:val="00640F99"/>
    <w:rsid w:val="00663493"/>
    <w:rsid w:val="006856EA"/>
    <w:rsid w:val="00696165"/>
    <w:rsid w:val="006D26BC"/>
    <w:rsid w:val="006D4F64"/>
    <w:rsid w:val="006F31E6"/>
    <w:rsid w:val="0072639B"/>
    <w:rsid w:val="00734E01"/>
    <w:rsid w:val="00736386"/>
    <w:rsid w:val="00783B74"/>
    <w:rsid w:val="00793247"/>
    <w:rsid w:val="007B78B9"/>
    <w:rsid w:val="00807C49"/>
    <w:rsid w:val="00825057"/>
    <w:rsid w:val="00831E51"/>
    <w:rsid w:val="008767CF"/>
    <w:rsid w:val="00880672"/>
    <w:rsid w:val="00894244"/>
    <w:rsid w:val="009011CD"/>
    <w:rsid w:val="00917598"/>
    <w:rsid w:val="00933C89"/>
    <w:rsid w:val="00971C95"/>
    <w:rsid w:val="009B4556"/>
    <w:rsid w:val="009E3F02"/>
    <w:rsid w:val="00A03C62"/>
    <w:rsid w:val="00A05852"/>
    <w:rsid w:val="00A13FA0"/>
    <w:rsid w:val="00A2053D"/>
    <w:rsid w:val="00A243D2"/>
    <w:rsid w:val="00A71461"/>
    <w:rsid w:val="00A93004"/>
    <w:rsid w:val="00AF0F93"/>
    <w:rsid w:val="00B3202C"/>
    <w:rsid w:val="00BB2179"/>
    <w:rsid w:val="00BE6DF8"/>
    <w:rsid w:val="00C33F05"/>
    <w:rsid w:val="00C43317"/>
    <w:rsid w:val="00C461A6"/>
    <w:rsid w:val="00C50131"/>
    <w:rsid w:val="00C50235"/>
    <w:rsid w:val="00C55BC1"/>
    <w:rsid w:val="00CB59B4"/>
    <w:rsid w:val="00CB72A2"/>
    <w:rsid w:val="00CD34AC"/>
    <w:rsid w:val="00DE251B"/>
    <w:rsid w:val="00E528E2"/>
    <w:rsid w:val="00E54B2D"/>
    <w:rsid w:val="00E72011"/>
    <w:rsid w:val="00E862B1"/>
    <w:rsid w:val="00EB386E"/>
    <w:rsid w:val="00EC2577"/>
    <w:rsid w:val="00ED5301"/>
    <w:rsid w:val="00EE6D5D"/>
    <w:rsid w:val="00EF7861"/>
    <w:rsid w:val="00F004A3"/>
    <w:rsid w:val="00F04A3E"/>
    <w:rsid w:val="00F25D31"/>
    <w:rsid w:val="00F300E5"/>
    <w:rsid w:val="00F40CCE"/>
    <w:rsid w:val="00F856A3"/>
    <w:rsid w:val="00F95094"/>
    <w:rsid w:val="00FE06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DFE06"/>
  <w15:chartTrackingRefBased/>
  <w15:docId w15:val="{D928C359-5801-423C-A6CA-C35470E00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dassah Friedlaender" w:eastAsiaTheme="minorHAnsi" w:hAnsi="Hadassah Friedlaender" w:cs="Hadassah Friedlaender"/>
        <w:sz w:val="22"/>
        <w:szCs w:val="22"/>
        <w:lang w:val="en-US" w:eastAsia="en-US" w:bidi="he-IL"/>
      </w:rPr>
    </w:rPrDefault>
    <w:pPrDefault>
      <w:pPr>
        <w:bidi/>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2011"/>
    <w:rPr>
      <w:szCs w:val="24"/>
    </w:rPr>
  </w:style>
  <w:style w:type="paragraph" w:styleId="1">
    <w:name w:val="heading 1"/>
    <w:basedOn w:val="a"/>
    <w:next w:val="a"/>
    <w:link w:val="10"/>
    <w:uiPriority w:val="9"/>
    <w:qFormat/>
    <w:rsid w:val="00DE251B"/>
    <w:pPr>
      <w:outlineLvl w:val="0"/>
    </w:pPr>
    <w:rPr>
      <w:rFonts w:ascii="Secular One" w:hAnsi="Secular One" w:cs="Guttman Keren"/>
      <w:sz w:val="44"/>
      <w:szCs w:val="44"/>
    </w:rPr>
  </w:style>
  <w:style w:type="paragraph" w:styleId="2">
    <w:name w:val="heading 2"/>
    <w:basedOn w:val="a"/>
    <w:next w:val="a"/>
    <w:link w:val="20"/>
    <w:uiPriority w:val="9"/>
    <w:qFormat/>
    <w:rsid w:val="004875C1"/>
    <w:pPr>
      <w:outlineLvl w:val="1"/>
    </w:pPr>
    <w:rPr>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8"/>
    <w:qFormat/>
    <w:rsid w:val="00B3202C"/>
    <w:pPr>
      <w:jc w:val="center"/>
    </w:pPr>
    <w:rPr>
      <w:rFonts w:ascii="Suez One" w:hAnsi="Suez One" w:cs="Suez One"/>
      <w:sz w:val="72"/>
      <w:szCs w:val="72"/>
    </w:rPr>
  </w:style>
  <w:style w:type="character" w:customStyle="1" w:styleId="a4">
    <w:name w:val="כותרת טקסט תו"/>
    <w:basedOn w:val="a0"/>
    <w:link w:val="a3"/>
    <w:uiPriority w:val="8"/>
    <w:rsid w:val="00B3202C"/>
    <w:rPr>
      <w:rFonts w:ascii="Suez One" w:hAnsi="Suez One" w:cs="Suez One"/>
      <w:sz w:val="72"/>
      <w:szCs w:val="72"/>
    </w:rPr>
  </w:style>
  <w:style w:type="character" w:customStyle="1" w:styleId="10">
    <w:name w:val="כותרת 1 תו"/>
    <w:basedOn w:val="a0"/>
    <w:link w:val="1"/>
    <w:uiPriority w:val="9"/>
    <w:rsid w:val="00DE251B"/>
    <w:rPr>
      <w:rFonts w:ascii="Secular One" w:hAnsi="Secular One" w:cs="Guttman Keren"/>
      <w:sz w:val="44"/>
      <w:szCs w:val="44"/>
    </w:rPr>
  </w:style>
  <w:style w:type="character" w:customStyle="1" w:styleId="20">
    <w:name w:val="כותרת 2 תו"/>
    <w:basedOn w:val="a0"/>
    <w:link w:val="2"/>
    <w:uiPriority w:val="9"/>
    <w:rsid w:val="004875C1"/>
    <w:rPr>
      <w:bCs/>
      <w:szCs w:val="28"/>
    </w:rPr>
  </w:style>
  <w:style w:type="paragraph" w:styleId="a5">
    <w:name w:val="footnote text"/>
    <w:basedOn w:val="a"/>
    <w:link w:val="a6"/>
    <w:autoRedefine/>
    <w:uiPriority w:val="99"/>
    <w:unhideWhenUsed/>
    <w:rsid w:val="00264875"/>
    <w:rPr>
      <w:sz w:val="20"/>
      <w:szCs w:val="20"/>
    </w:rPr>
  </w:style>
  <w:style w:type="character" w:customStyle="1" w:styleId="a6">
    <w:name w:val="טקסט הערת שוליים תו"/>
    <w:basedOn w:val="a0"/>
    <w:link w:val="a5"/>
    <w:uiPriority w:val="99"/>
    <w:rsid w:val="00264875"/>
    <w:rPr>
      <w:sz w:val="20"/>
      <w:szCs w:val="20"/>
    </w:rPr>
  </w:style>
  <w:style w:type="paragraph" w:styleId="a7">
    <w:name w:val="header"/>
    <w:basedOn w:val="a"/>
    <w:link w:val="a8"/>
    <w:uiPriority w:val="99"/>
    <w:unhideWhenUsed/>
    <w:rsid w:val="00B3202C"/>
  </w:style>
  <w:style w:type="character" w:customStyle="1" w:styleId="a8">
    <w:name w:val="כותרת עליונה תו"/>
    <w:basedOn w:val="a0"/>
    <w:link w:val="a7"/>
    <w:uiPriority w:val="99"/>
    <w:rsid w:val="00B3202C"/>
  </w:style>
  <w:style w:type="paragraph" w:styleId="a9">
    <w:name w:val="footer"/>
    <w:basedOn w:val="a7"/>
    <w:link w:val="aa"/>
    <w:uiPriority w:val="99"/>
    <w:unhideWhenUsed/>
    <w:rsid w:val="00B3202C"/>
  </w:style>
  <w:style w:type="character" w:customStyle="1" w:styleId="aa">
    <w:name w:val="כותרת תחתונה תו"/>
    <w:basedOn w:val="a0"/>
    <w:link w:val="a9"/>
    <w:uiPriority w:val="99"/>
    <w:rsid w:val="00B3202C"/>
  </w:style>
  <w:style w:type="character" w:styleId="ab">
    <w:name w:val="footnote reference"/>
    <w:basedOn w:val="a0"/>
    <w:uiPriority w:val="99"/>
    <w:semiHidden/>
    <w:unhideWhenUsed/>
    <w:rsid w:val="00B3202C"/>
    <w:rPr>
      <w:vertAlign w:val="superscript"/>
    </w:rPr>
  </w:style>
  <w:style w:type="character" w:styleId="ac">
    <w:name w:val="Strong"/>
    <w:aliases w:val="ציטוט."/>
    <w:uiPriority w:val="10"/>
    <w:qFormat/>
    <w:rsid w:val="00933C89"/>
    <w:rPr>
      <w:rFonts w:ascii="Shofar" w:hAnsi="Shofar" w:cs="Guttman Keren"/>
      <w:szCs w:val="20"/>
    </w:rPr>
  </w:style>
  <w:style w:type="paragraph" w:styleId="ad">
    <w:name w:val="No Spacing"/>
    <w:uiPriority w:val="11"/>
    <w:rsid w:val="00B3202C"/>
    <w:pPr>
      <w:tabs>
        <w:tab w:val="center" w:pos="4153"/>
        <w:tab w:val="right" w:pos="8306"/>
      </w:tabs>
      <w:spacing w:after="0"/>
    </w:pPr>
    <w:rPr>
      <w:rFonts w:ascii="Heebo" w:hAnsi="Heebo"/>
    </w:rPr>
  </w:style>
  <w:style w:type="character" w:styleId="ae">
    <w:name w:val="Subtle Emphasis"/>
    <w:basedOn w:val="a0"/>
    <w:uiPriority w:val="19"/>
    <w:rsid w:val="00B3202C"/>
    <w:rPr>
      <w:i/>
      <w:iCs/>
      <w:color w:val="404040" w:themeColor="text1" w:themeTint="BF"/>
    </w:rPr>
  </w:style>
  <w:style w:type="paragraph" w:styleId="af">
    <w:name w:val="Quote"/>
    <w:basedOn w:val="a"/>
    <w:next w:val="a"/>
    <w:link w:val="af0"/>
    <w:autoRedefine/>
    <w:uiPriority w:val="29"/>
    <w:qFormat/>
    <w:rsid w:val="008767CF"/>
    <w:pPr>
      <w:spacing w:before="200" w:after="160"/>
      <w:ind w:left="864" w:right="864"/>
      <w:jc w:val="center"/>
    </w:pPr>
    <w:rPr>
      <w:i/>
      <w:iCs/>
      <w:color w:val="404040" w:themeColor="text1" w:themeTint="BF"/>
    </w:rPr>
  </w:style>
  <w:style w:type="character" w:customStyle="1" w:styleId="af0">
    <w:name w:val="ציטוט תו"/>
    <w:basedOn w:val="a0"/>
    <w:link w:val="af"/>
    <w:uiPriority w:val="29"/>
    <w:rsid w:val="008767CF"/>
    <w:rPr>
      <w:i/>
      <w:iCs/>
      <w:color w:val="404040" w:themeColor="text1" w:themeTint="BF"/>
    </w:rPr>
  </w:style>
  <w:style w:type="character" w:customStyle="1" w:styleId="af1">
    <w:name w:val="מודגש"/>
    <w:basedOn w:val="a0"/>
    <w:uiPriority w:val="1"/>
    <w:rsid w:val="006140F2"/>
    <w:rPr>
      <w:rFonts w:cs="Heebo Medium"/>
      <w:bCs w:val="0"/>
    </w:rPr>
  </w:style>
  <w:style w:type="paragraph" w:customStyle="1" w:styleId="af2">
    <w:name w:val="הערת שוליים"/>
    <w:basedOn w:val="a"/>
    <w:link w:val="af3"/>
    <w:qFormat/>
    <w:rsid w:val="00B3202C"/>
    <w:rPr>
      <w:szCs w:val="20"/>
    </w:rPr>
  </w:style>
  <w:style w:type="character" w:customStyle="1" w:styleId="af3">
    <w:name w:val="הערת שוליים תו"/>
    <w:basedOn w:val="a0"/>
    <w:link w:val="af2"/>
    <w:rsid w:val="00B3202C"/>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736</Words>
  <Characters>3685</Characters>
  <Application>Microsoft Office Word</Application>
  <DocSecurity>0</DocSecurity>
  <Lines>30</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נתאי קסנר</dc:creator>
  <cp:keywords/>
  <dc:description/>
  <cp:lastModifiedBy>נתאי קסנר</cp:lastModifiedBy>
  <cp:revision>59</cp:revision>
  <dcterms:created xsi:type="dcterms:W3CDTF">2022-05-25T09:01:00Z</dcterms:created>
  <dcterms:modified xsi:type="dcterms:W3CDTF">2022-05-25T11:49:00Z</dcterms:modified>
</cp:coreProperties>
</file>