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AC49" w14:textId="77777777" w:rsidR="003C5C7D" w:rsidRPr="003C5C7D" w:rsidRDefault="003C5C7D" w:rsidP="00112035">
      <w:pPr>
        <w:pStyle w:val="1"/>
        <w:rPr>
          <w:rFonts w:cs="Guttman Keren"/>
          <w:rtl/>
        </w:rPr>
      </w:pPr>
      <w:r w:rsidRPr="003C5C7D">
        <w:rPr>
          <w:rFonts w:cs="Guttman Keren" w:hint="cs"/>
          <w:rtl/>
        </w:rPr>
        <w:t>שיעור כללי – מחיית עמלק</w:t>
      </w:r>
    </w:p>
    <w:p w14:paraId="6B27618E" w14:textId="30598F80" w:rsidR="003C5C7D" w:rsidRDefault="003C5C7D" w:rsidP="00112035">
      <w:pPr>
        <w:rPr>
          <w:rtl/>
        </w:rPr>
      </w:pPr>
      <w:r>
        <w:rPr>
          <w:rtl/>
        </w:rPr>
        <w:t>הרמב"ם</w:t>
      </w:r>
      <w:r w:rsidR="00B46749">
        <w:rPr>
          <w:rStyle w:val="ab"/>
          <w:rtl/>
        </w:rPr>
        <w:footnoteReference w:id="1"/>
      </w:r>
      <w:r>
        <w:rPr>
          <w:rtl/>
        </w:rPr>
        <w:t xml:space="preserve"> אומר שיש </w:t>
      </w:r>
      <w:r>
        <w:rPr>
          <w:u w:val="single"/>
          <w:rtl/>
        </w:rPr>
        <w:t>מצוות עשה</w:t>
      </w:r>
      <w:r>
        <w:rPr>
          <w:rtl/>
        </w:rPr>
        <w:t xml:space="preserve"> לאבד זכר עמלק, </w:t>
      </w:r>
      <w:r>
        <w:rPr>
          <w:u w:val="single"/>
          <w:rtl/>
        </w:rPr>
        <w:t>ומצוות עשה</w:t>
      </w:r>
      <w:r>
        <w:rPr>
          <w:rtl/>
        </w:rPr>
        <w:t xml:space="preserve"> לזכור תמיד את מעשיו הרעים, </w:t>
      </w:r>
      <w:r>
        <w:rPr>
          <w:u w:val="single"/>
          <w:rtl/>
        </w:rPr>
        <w:t>ומצוות עשה</w:t>
      </w:r>
      <w:r>
        <w:rPr>
          <w:rtl/>
        </w:rPr>
        <w:t xml:space="preserve"> להחרים שבעה עממים, וכל שבא לידו אחד מהם ולא הרגו – עובר על </w:t>
      </w:r>
      <w:r>
        <w:rPr>
          <w:u w:val="single"/>
          <w:rtl/>
        </w:rPr>
        <w:t>לא תעשה</w:t>
      </w:r>
      <w:r>
        <w:rPr>
          <w:rtl/>
        </w:rPr>
        <w:t>.</w:t>
      </w:r>
    </w:p>
    <w:p w14:paraId="2A3DE458" w14:textId="57D7800A" w:rsidR="004372FA" w:rsidRDefault="004372FA" w:rsidP="00112035">
      <w:pPr>
        <w:rPr>
          <w:rtl/>
        </w:rPr>
      </w:pPr>
      <w:r>
        <w:rPr>
          <w:rFonts w:hint="cs"/>
          <w:rtl/>
        </w:rPr>
        <w:t xml:space="preserve">בגלל שזה מוזכר רק לגבי שבעת עממים ולא לגבי עמלק משמע שלדעת הרמב"ם מצוות מחיית עמלק היא </w:t>
      </w:r>
      <w:r w:rsidRPr="004372FA">
        <w:rPr>
          <w:rFonts w:hint="cs"/>
          <w:u w:val="single"/>
          <w:rtl/>
        </w:rPr>
        <w:t>רק על הציבור</w:t>
      </w:r>
      <w:r>
        <w:rPr>
          <w:rFonts w:hint="cs"/>
          <w:rtl/>
        </w:rPr>
        <w:t xml:space="preserve"> ולא על כל יחיד בישראל.</w:t>
      </w:r>
    </w:p>
    <w:p w14:paraId="1F1E9D3D" w14:textId="5D38DD20" w:rsidR="003C5C7D" w:rsidRDefault="003C5C7D" w:rsidP="00112035">
      <w:pPr>
        <w:rPr>
          <w:rtl/>
        </w:rPr>
      </w:pPr>
      <w:r>
        <w:rPr>
          <w:rtl/>
        </w:rPr>
        <w:t>היראים</w:t>
      </w:r>
      <w:r w:rsidR="00B46749">
        <w:rPr>
          <w:rStyle w:val="ab"/>
          <w:rtl/>
        </w:rPr>
        <w:footnoteReference w:id="2"/>
      </w:r>
      <w:r>
        <w:rPr>
          <w:rtl/>
        </w:rPr>
        <w:t xml:space="preserve"> אומר שהחובה במחיית זכר עמלק היא חובה </w:t>
      </w:r>
      <w:r w:rsidRPr="004372FA">
        <w:rPr>
          <w:u w:val="single"/>
          <w:rtl/>
        </w:rPr>
        <w:t>על הציבור</w:t>
      </w:r>
      <w:r w:rsidR="004372FA">
        <w:rPr>
          <w:rFonts w:hint="cs"/>
          <w:rtl/>
        </w:rPr>
        <w:t xml:space="preserve"> (על המלך)</w:t>
      </w:r>
      <w:r>
        <w:rPr>
          <w:rtl/>
        </w:rPr>
        <w:t xml:space="preserve"> ולא על כל יחיד בישראל.</w:t>
      </w:r>
    </w:p>
    <w:p w14:paraId="7482E8A6" w14:textId="6987E984" w:rsidR="003C5C7D" w:rsidRDefault="003C5C7D" w:rsidP="00112035">
      <w:pPr>
        <w:rPr>
          <w:rtl/>
        </w:rPr>
      </w:pPr>
      <w:r>
        <w:rPr>
          <w:rtl/>
        </w:rPr>
        <w:t>החינוך</w:t>
      </w:r>
      <w:r w:rsidR="00B46749">
        <w:rPr>
          <w:rStyle w:val="ab"/>
          <w:rtl/>
        </w:rPr>
        <w:footnoteReference w:id="3"/>
      </w:r>
      <w:r>
        <w:rPr>
          <w:rtl/>
        </w:rPr>
        <w:t xml:space="preserve"> אומר שהמצווה מוטלת על הציבור כולם, </w:t>
      </w:r>
      <w:r w:rsidRPr="004372FA">
        <w:rPr>
          <w:u w:val="single"/>
          <w:rtl/>
        </w:rPr>
        <w:t>על כל יחיד</w:t>
      </w:r>
      <w:r>
        <w:rPr>
          <w:rtl/>
        </w:rPr>
        <w:t xml:space="preserve"> מישראל </w:t>
      </w:r>
      <w:r>
        <w:rPr>
          <w:u w:val="single"/>
          <w:rtl/>
        </w:rPr>
        <w:t>הזכרים</w:t>
      </w:r>
      <w:r>
        <w:rPr>
          <w:rtl/>
        </w:rPr>
        <w:t xml:space="preserve"> מוטל החיוב להרגם. ואם אחד מהם בא לידו ולא הרגו, הוא מבטל מצוות עשה.</w:t>
      </w:r>
    </w:p>
    <w:p w14:paraId="1E166571" w14:textId="6F4BC44B" w:rsidR="004372FA" w:rsidRDefault="004372FA" w:rsidP="00112035">
      <w:r>
        <w:rPr>
          <w:rFonts w:hint="cs"/>
          <w:rtl/>
        </w:rPr>
        <w:t>למרות שבגמרא כתוב 3 מצוות שנצטוו ישראל.. לבנות ביהמק ולמנות מלך זה רק על הציבור אז כנראה גם מחיית עמלק זה מצווה על הציבור. החינוך מחדש שזה מצווה על כל יחיד.</w:t>
      </w:r>
    </w:p>
    <w:p w14:paraId="5D24310C" w14:textId="0E2E4A4F" w:rsidR="003C5C7D" w:rsidRPr="000C6B18" w:rsidRDefault="003C5C7D" w:rsidP="00112035">
      <w:pPr>
        <w:rPr>
          <w:rtl/>
        </w:rPr>
      </w:pPr>
      <w:r>
        <w:rPr>
          <w:rtl/>
        </w:rPr>
        <w:t>במכילתא</w:t>
      </w:r>
      <w:r w:rsidR="00B46749">
        <w:rPr>
          <w:rStyle w:val="ab"/>
          <w:rtl/>
        </w:rPr>
        <w:footnoteReference w:id="4"/>
      </w:r>
      <w:r>
        <w:rPr>
          <w:rtl/>
        </w:rPr>
        <w:t xml:space="preserve"> כתוב שדוד הרג את הגר העמלקי לבדו</w:t>
      </w:r>
      <w:r w:rsidR="000919DA">
        <w:rPr>
          <w:rFonts w:hint="cs"/>
          <w:rtl/>
        </w:rPr>
        <w:t>, אז לכאורה ניתן ללמוד מזה שזה מצווה המוטלת על יחידים</w:t>
      </w:r>
      <w:r>
        <w:rPr>
          <w:rtl/>
        </w:rPr>
        <w:t>.</w:t>
      </w:r>
    </w:p>
    <w:p w14:paraId="507A863B" w14:textId="6D988296" w:rsidR="003C5C7D" w:rsidRDefault="003C5C7D" w:rsidP="00112035">
      <w:pPr>
        <w:rPr>
          <w:rtl/>
        </w:rPr>
      </w:pPr>
      <w:r>
        <w:rPr>
          <w:rtl/>
        </w:rPr>
        <w:t>הרמב"ם</w:t>
      </w:r>
      <w:r w:rsidR="00B46749">
        <w:rPr>
          <w:rStyle w:val="ab"/>
          <w:rtl/>
        </w:rPr>
        <w:footnoteReference w:id="5"/>
      </w:r>
      <w:r>
        <w:rPr>
          <w:rtl/>
        </w:rPr>
        <w:t xml:space="preserve"> אומר שהריגת הגר העמלקי נבעה מהוראת שעה או מדין מלכות, ולא בגלל שהגר היה עמלקי.</w:t>
      </w:r>
    </w:p>
    <w:p w14:paraId="077C5C5B" w14:textId="485D6217" w:rsidR="003C5C7D" w:rsidRDefault="003C5C7D" w:rsidP="00112035">
      <w:pPr>
        <w:rPr>
          <w:rtl/>
        </w:rPr>
      </w:pPr>
      <w:r>
        <w:rPr>
          <w:rtl/>
        </w:rPr>
        <w:t>גם בריטב"א</w:t>
      </w:r>
      <w:r w:rsidR="00B46749">
        <w:rPr>
          <w:rStyle w:val="ab"/>
          <w:rtl/>
        </w:rPr>
        <w:footnoteReference w:id="6"/>
      </w:r>
      <w:r>
        <w:rPr>
          <w:rtl/>
        </w:rPr>
        <w:t xml:space="preserve"> כתוב שדוד הרגו מדין מלכות, משמע שאין באמת דין על יחיד לעשות זאת.</w:t>
      </w:r>
    </w:p>
    <w:p w14:paraId="60F4AA8E" w14:textId="67A8B7DE" w:rsidR="00092460" w:rsidRDefault="003C5C7D" w:rsidP="00112035">
      <w:pPr>
        <w:rPr>
          <w:rtl/>
        </w:rPr>
      </w:pPr>
      <w:r>
        <w:rPr>
          <w:rtl/>
        </w:rPr>
        <w:t>החינוך</w:t>
      </w:r>
      <w:r w:rsidR="00B46749">
        <w:rPr>
          <w:rStyle w:val="ab"/>
          <w:rtl/>
        </w:rPr>
        <w:footnoteReference w:id="7"/>
      </w:r>
      <w:r>
        <w:rPr>
          <w:rtl/>
        </w:rPr>
        <w:t xml:space="preserve"> אומר שמצוות זכירת מעשה עמלק נוהגת </w:t>
      </w:r>
      <w:r>
        <w:rPr>
          <w:u w:val="single"/>
          <w:rtl/>
        </w:rPr>
        <w:t>רק בזכרים</w:t>
      </w:r>
      <w:r>
        <w:rPr>
          <w:rtl/>
        </w:rPr>
        <w:t xml:space="preserve">, </w:t>
      </w:r>
      <w:r w:rsidR="00B8437A">
        <w:rPr>
          <w:rFonts w:hint="cs"/>
          <w:rtl/>
        </w:rPr>
        <w:t>בגלל ש</w:t>
      </w:r>
      <w:r>
        <w:rPr>
          <w:rtl/>
        </w:rPr>
        <w:t>הם צריכים לעשות מלחמה ונקמת האויב.</w:t>
      </w:r>
      <w:r w:rsidR="00092460">
        <w:rPr>
          <w:rFonts w:hint="cs"/>
          <w:rtl/>
        </w:rPr>
        <w:t xml:space="preserve"> נשים פטורות ממחייה כי הן לא צריכות</w:t>
      </w:r>
      <w:r w:rsidR="0076012A">
        <w:rPr>
          <w:rFonts w:hint="cs"/>
          <w:rtl/>
        </w:rPr>
        <w:t xml:space="preserve"> למחות,</w:t>
      </w:r>
      <w:r w:rsidR="00092460">
        <w:rPr>
          <w:rFonts w:hint="cs"/>
          <w:rtl/>
        </w:rPr>
        <w:t xml:space="preserve"> ובגלל שהזכירה היא כדי למחות אז הן פטורות גם מהזכירה.</w:t>
      </w:r>
    </w:p>
    <w:p w14:paraId="08501A75" w14:textId="77777777" w:rsidR="00F07E9C" w:rsidRDefault="00E31973" w:rsidP="00112035">
      <w:pPr>
        <w:rPr>
          <w:rtl/>
        </w:rPr>
      </w:pPr>
      <w:r>
        <w:rPr>
          <w:rtl/>
        </w:rPr>
        <w:t>המנחת חינוך</w:t>
      </w:r>
      <w:r w:rsidR="00B46749">
        <w:rPr>
          <w:rStyle w:val="ab"/>
          <w:rtl/>
        </w:rPr>
        <w:footnoteReference w:id="8"/>
      </w:r>
      <w:r>
        <w:rPr>
          <w:rtl/>
        </w:rPr>
        <w:t xml:space="preserve"> תמה למה הנשים נפטרות ממחיית עמלק ומזכירת עמלק ע"פ החינוך, הרי כתוב שאף כלה צריכה לצאת מחופתה וכו'.</w:t>
      </w:r>
    </w:p>
    <w:p w14:paraId="2F51E71A" w14:textId="0C9F4986" w:rsidR="003C5C7D" w:rsidRDefault="003C5C7D" w:rsidP="00112035">
      <w:pPr>
        <w:rPr>
          <w:rtl/>
        </w:rPr>
      </w:pPr>
      <w:r>
        <w:rPr>
          <w:rtl/>
        </w:rPr>
        <w:t>החינוך</w:t>
      </w:r>
      <w:r w:rsidR="00B46749">
        <w:rPr>
          <w:rStyle w:val="ab"/>
          <w:rtl/>
        </w:rPr>
        <w:footnoteReference w:id="9"/>
      </w:r>
      <w:r>
        <w:rPr>
          <w:rtl/>
        </w:rPr>
        <w:t xml:space="preserve"> אומר שבהריגת ז' עממים המצווה נוהגת גם </w:t>
      </w:r>
      <w:r>
        <w:rPr>
          <w:u w:val="single"/>
          <w:rtl/>
        </w:rPr>
        <w:t>בזכרים וגם בנקבות</w:t>
      </w:r>
      <w:r>
        <w:rPr>
          <w:rtl/>
        </w:rPr>
        <w:t xml:space="preserve">. חוץ מזה, אם בא ליד מישהו אחד מז' עממים ויכול להרגו </w:t>
      </w:r>
      <w:r w:rsidRPr="00F07E9C">
        <w:rPr>
          <w:u w:val="single"/>
          <w:rtl/>
        </w:rPr>
        <w:t>מבלי שיסתכן</w:t>
      </w:r>
      <w:r>
        <w:rPr>
          <w:rtl/>
        </w:rPr>
        <w:t>, אז הוא גם מבטל מצוות עשה וגם עובר על לאו "לא תחיה כל נשמה".</w:t>
      </w:r>
    </w:p>
    <w:p w14:paraId="741B900E" w14:textId="73E6CF4F" w:rsidR="003C5C7D" w:rsidRDefault="003C5C7D" w:rsidP="00112035">
      <w:pPr>
        <w:rPr>
          <w:rtl/>
        </w:rPr>
      </w:pPr>
      <w:r>
        <w:rPr>
          <w:rtl/>
        </w:rPr>
        <w:t>המנחת חינוך</w:t>
      </w:r>
      <w:r w:rsidR="00B46749">
        <w:rPr>
          <w:rStyle w:val="ab"/>
          <w:rtl/>
        </w:rPr>
        <w:footnoteReference w:id="10"/>
      </w:r>
      <w:r>
        <w:rPr>
          <w:rtl/>
        </w:rPr>
        <w:t xml:space="preserve"> שואל למה החינוך אומר "בלבד שלא יסתכן", הרי במחיית עמלק זה לא כתוב, ובאופן כללי התורה ציוותה </w:t>
      </w:r>
      <w:r w:rsidRPr="00F07E9C">
        <w:rPr>
          <w:u w:val="single"/>
          <w:rtl/>
        </w:rPr>
        <w:t>להילחם עמהם</w:t>
      </w:r>
      <w:r w:rsidR="00F07E9C">
        <w:rPr>
          <w:rFonts w:hint="cs"/>
          <w:rtl/>
        </w:rPr>
        <w:t xml:space="preserve"> (מלחמת מצווה)</w:t>
      </w:r>
      <w:r>
        <w:rPr>
          <w:rtl/>
        </w:rPr>
        <w:t xml:space="preserve"> ובעת מלחמה דרך העולם שנהרגים משני הצדדים.</w:t>
      </w:r>
    </w:p>
    <w:p w14:paraId="78ABF90A" w14:textId="6E4952A7" w:rsidR="00F07E9C" w:rsidRDefault="00F07E9C" w:rsidP="00112035">
      <w:pPr>
        <w:rPr>
          <w:rtl/>
        </w:rPr>
      </w:pPr>
      <w:r>
        <w:rPr>
          <w:rtl/>
        </w:rPr>
        <w:t xml:space="preserve">חוץ מזה הוא אומר </w:t>
      </w:r>
      <w:r>
        <w:rPr>
          <w:rFonts w:hint="cs"/>
          <w:rtl/>
        </w:rPr>
        <w:t xml:space="preserve">במצווה תר"ד </w:t>
      </w:r>
      <w:r w:rsidR="009B4B4D">
        <w:rPr>
          <w:rFonts w:hint="cs"/>
          <w:rtl/>
        </w:rPr>
        <w:t>ש</w:t>
      </w:r>
      <w:r w:rsidR="008C191A">
        <w:rPr>
          <w:rFonts w:hint="cs"/>
          <w:rtl/>
        </w:rPr>
        <w:t xml:space="preserve">גם </w:t>
      </w:r>
      <w:r w:rsidR="009B4B4D">
        <w:rPr>
          <w:rFonts w:hint="cs"/>
          <w:rtl/>
        </w:rPr>
        <w:t>מצוות מחיית עמלק</w:t>
      </w:r>
      <w:r>
        <w:rPr>
          <w:rtl/>
        </w:rPr>
        <w:t xml:space="preserve"> קיימת גם במקום סכנה, כי התורה צוותה להילחם ומסכנים נפשות במלחמה.</w:t>
      </w:r>
    </w:p>
    <w:p w14:paraId="74026826" w14:textId="58B300CB" w:rsidR="009B4B4D" w:rsidRDefault="009B4B4D" w:rsidP="00112035">
      <w:pPr>
        <w:rPr>
          <w:rtl/>
        </w:rPr>
      </w:pPr>
      <w:r>
        <w:rPr>
          <w:rFonts w:hint="cs"/>
          <w:rtl/>
        </w:rPr>
        <w:t>ניתן להציע פתרון שיפתור את שתי השאלות</w:t>
      </w:r>
      <w:r w:rsidR="00E05CF5">
        <w:rPr>
          <w:rFonts w:hint="cs"/>
          <w:rtl/>
        </w:rPr>
        <w:t xml:space="preserve"> (לגבי הזכרים</w:t>
      </w:r>
      <w:r w:rsidR="00BC3675">
        <w:rPr>
          <w:rFonts w:hint="cs"/>
          <w:rtl/>
        </w:rPr>
        <w:t xml:space="preserve"> והנקבות,</w:t>
      </w:r>
      <w:r w:rsidR="00E05CF5">
        <w:rPr>
          <w:rFonts w:hint="cs"/>
          <w:rtl/>
        </w:rPr>
        <w:t xml:space="preserve"> ולגבי הסכנה)</w:t>
      </w:r>
      <w:r>
        <w:rPr>
          <w:rFonts w:hint="cs"/>
          <w:rtl/>
        </w:rPr>
        <w:t>:</w:t>
      </w:r>
    </w:p>
    <w:p w14:paraId="633172E0" w14:textId="1C7D4624" w:rsidR="009B4B4D" w:rsidRPr="00F07E9C" w:rsidRDefault="009B4B4D" w:rsidP="00112035">
      <w:pPr>
        <w:rPr>
          <w:rtl/>
        </w:rPr>
      </w:pPr>
      <w:r>
        <w:rPr>
          <w:rFonts w:hint="cs"/>
          <w:rtl/>
        </w:rPr>
        <w:t>בעת הכניסה לארץ נתחייבנו על מלחמה נגד שבעה עממים, אבל לאחר מכן אם אני פוגש גרגשי ברחוב, זה כבר לא מלחמה ולכן אני לא מחויב להרגו</w:t>
      </w:r>
      <w:r w:rsidR="00306E21">
        <w:rPr>
          <w:rFonts w:hint="cs"/>
          <w:rtl/>
        </w:rPr>
        <w:t xml:space="preserve"> במקום סכנה</w:t>
      </w:r>
      <w:r w:rsidR="00434605">
        <w:rPr>
          <w:rFonts w:hint="cs"/>
          <w:rtl/>
        </w:rPr>
        <w:t>, ואישה חייבת בזה כי זה לא מלחמה.</w:t>
      </w:r>
    </w:p>
    <w:p w14:paraId="36CFF5EE" w14:textId="631A75B7" w:rsidR="00434605" w:rsidRDefault="003C5C7D" w:rsidP="00112035">
      <w:pPr>
        <w:tabs>
          <w:tab w:val="left" w:pos="4153"/>
        </w:tabs>
        <w:rPr>
          <w:rtl/>
        </w:rPr>
      </w:pPr>
      <w:r>
        <w:rPr>
          <w:rtl/>
        </w:rPr>
        <w:t xml:space="preserve">במכילתא כתוב שמדובר </w:t>
      </w:r>
      <w:r w:rsidRPr="00434605">
        <w:rPr>
          <w:rtl/>
        </w:rPr>
        <w:t>במלחמה בעמלק</w:t>
      </w:r>
      <w:r>
        <w:rPr>
          <w:rtl/>
        </w:rPr>
        <w:t xml:space="preserve"> ("מלחמה לה' בעמלק</w:t>
      </w:r>
      <w:r w:rsidR="00BA7599">
        <w:rPr>
          <w:rFonts w:hint="cs"/>
          <w:rtl/>
        </w:rPr>
        <w:t xml:space="preserve"> מדור דור</w:t>
      </w:r>
      <w:r>
        <w:rPr>
          <w:rtl/>
        </w:rPr>
        <w:t xml:space="preserve">"), </w:t>
      </w:r>
      <w:r w:rsidRPr="00434605">
        <w:rPr>
          <w:u w:val="single"/>
          <w:rtl/>
        </w:rPr>
        <w:t>כל עוד נשאר עמלקי אחד בעולם המלחמה לא נגמרה</w:t>
      </w:r>
      <w:r>
        <w:rPr>
          <w:rtl/>
        </w:rPr>
        <w:t xml:space="preserve">. יש פה חידוש שכל אחד שפוגש עמלקי הורג אותו </w:t>
      </w:r>
      <w:r w:rsidRPr="00434605">
        <w:rPr>
          <w:u w:val="single"/>
          <w:rtl/>
        </w:rPr>
        <w:t>מדין מלחמה</w:t>
      </w:r>
      <w:r>
        <w:rPr>
          <w:rtl/>
        </w:rPr>
        <w:t xml:space="preserve">. לכן רק איש חייב בזה, כי </w:t>
      </w:r>
      <w:r w:rsidR="00434605">
        <w:rPr>
          <w:rFonts w:hint="cs"/>
          <w:rtl/>
        </w:rPr>
        <w:t xml:space="preserve">רק </w:t>
      </w:r>
      <w:r>
        <w:rPr>
          <w:rtl/>
        </w:rPr>
        <w:t>איש שייך במלחמה.</w:t>
      </w:r>
    </w:p>
    <w:p w14:paraId="76D4BD68" w14:textId="77777777" w:rsidR="003C5C7D" w:rsidRDefault="003C5C7D" w:rsidP="00112035">
      <w:pPr>
        <w:tabs>
          <w:tab w:val="left" w:pos="4153"/>
        </w:tabs>
        <w:rPr>
          <w:rtl/>
        </w:rPr>
      </w:pPr>
      <w:r>
        <w:rPr>
          <w:rtl/>
        </w:rPr>
        <w:t>נחזור לשאלה של מלחמת מצווה – הרי צריך להוציא חתן מחדרו וכלה מחופתה?</w:t>
      </w:r>
    </w:p>
    <w:p w14:paraId="5A73232F" w14:textId="2BDB4771" w:rsidR="003C5C7D" w:rsidRDefault="003C5C7D" w:rsidP="00112035">
      <w:pPr>
        <w:tabs>
          <w:tab w:val="left" w:pos="4153"/>
        </w:tabs>
        <w:rPr>
          <w:rtl/>
        </w:rPr>
      </w:pPr>
      <w:r>
        <w:rPr>
          <w:rtl/>
        </w:rPr>
        <w:lastRenderedPageBreak/>
        <w:t>הרמב"ם</w:t>
      </w:r>
      <w:r w:rsidR="00B46749">
        <w:rPr>
          <w:rStyle w:val="ab"/>
          <w:rtl/>
        </w:rPr>
        <w:footnoteReference w:id="11"/>
      </w:r>
      <w:r>
        <w:rPr>
          <w:rtl/>
        </w:rPr>
        <w:t xml:space="preserve"> אומר שבמלחמת מצווה הכל יוצאין ואפילו חתן מחדרו וכלה מחופתה.</w:t>
      </w:r>
    </w:p>
    <w:p w14:paraId="5CA5B829" w14:textId="2BC99E43" w:rsidR="00434605" w:rsidRDefault="003C5C7D" w:rsidP="00112035">
      <w:pPr>
        <w:tabs>
          <w:tab w:val="left" w:pos="4153"/>
        </w:tabs>
        <w:rPr>
          <w:rtl/>
        </w:rPr>
      </w:pPr>
      <w:r>
        <w:rPr>
          <w:rtl/>
        </w:rPr>
        <w:t>הרדב"ז</w:t>
      </w:r>
      <w:r w:rsidR="00782AE7">
        <w:rPr>
          <w:rStyle w:val="ab"/>
          <w:rtl/>
        </w:rPr>
        <w:footnoteReference w:id="12"/>
      </w:r>
      <w:r>
        <w:rPr>
          <w:rtl/>
        </w:rPr>
        <w:t xml:space="preserve"> שואל וכי דרך הנשים לעשות מלחמה,</w:t>
      </w:r>
      <w:r w:rsidR="00434605">
        <w:rPr>
          <w:rFonts w:hint="cs"/>
          <w:rtl/>
        </w:rPr>
        <w:t xml:space="preserve"> הרי כתוב כל כבודה בת מלך פנימה.</w:t>
      </w:r>
    </w:p>
    <w:p w14:paraId="0E19AB34" w14:textId="3A94B38D" w:rsidR="003C5C7D" w:rsidRDefault="00021193" w:rsidP="00112035">
      <w:pPr>
        <w:tabs>
          <w:tab w:val="left" w:pos="4153"/>
        </w:tabs>
        <w:rPr>
          <w:rtl/>
        </w:rPr>
      </w:pPr>
      <w:r>
        <w:rPr>
          <w:rFonts w:hint="cs"/>
          <w:rtl/>
        </w:rPr>
        <w:t xml:space="preserve">הוא </w:t>
      </w:r>
      <w:r w:rsidR="00434605">
        <w:rPr>
          <w:rFonts w:hint="cs"/>
          <w:rtl/>
        </w:rPr>
        <w:t xml:space="preserve">מביא </w:t>
      </w:r>
      <w:r w:rsidR="003C5C7D">
        <w:rPr>
          <w:rtl/>
        </w:rPr>
        <w:t>שני תירוצים: א. בגלל שחתן יוצא מחדרו, אז הכלה יוצאת מחופתה; ב. במלחמת מצווה נשים היו מספקות מים ומזון לבעליהן.</w:t>
      </w:r>
    </w:p>
    <w:p w14:paraId="69CF62E0" w14:textId="5C09C448" w:rsidR="003C5C7D" w:rsidRDefault="00021193" w:rsidP="00DA3451">
      <w:pPr>
        <w:tabs>
          <w:tab w:val="left" w:pos="4153"/>
        </w:tabs>
        <w:rPr>
          <w:rtl/>
        </w:rPr>
      </w:pPr>
      <w:r>
        <w:rPr>
          <w:rFonts w:hint="cs"/>
          <w:rtl/>
        </w:rPr>
        <w:t>המג</w:t>
      </w:r>
      <w:r w:rsidR="00DA3451">
        <w:rPr>
          <w:rFonts w:hint="cs"/>
          <w:rtl/>
        </w:rPr>
        <w:t>"</w:t>
      </w:r>
      <w:r>
        <w:rPr>
          <w:rFonts w:hint="cs"/>
          <w:rtl/>
        </w:rPr>
        <w:t>א</w:t>
      </w:r>
      <w:r w:rsidR="00AD2BBB">
        <w:rPr>
          <w:rStyle w:val="ab"/>
          <w:rtl/>
        </w:rPr>
        <w:footnoteReference w:id="13"/>
      </w:r>
      <w:r w:rsidR="00DA3451">
        <w:rPr>
          <w:rFonts w:hint="cs"/>
          <w:rtl/>
        </w:rPr>
        <w:t xml:space="preserve"> אומר ש</w:t>
      </w:r>
      <w:r w:rsidR="00600279">
        <w:rPr>
          <w:rFonts w:hint="cs"/>
          <w:rtl/>
        </w:rPr>
        <w:t xml:space="preserve">מצוות עשה מדאורייתא לקרוא פרשת זכור במניין. </w:t>
      </w:r>
      <w:r>
        <w:rPr>
          <w:rFonts w:hint="cs"/>
          <w:rtl/>
        </w:rPr>
        <w:t xml:space="preserve">אם אדם לא שמע זכור הוא יכול לצאת </w:t>
      </w:r>
      <w:r w:rsidR="00600279">
        <w:rPr>
          <w:rFonts w:hint="cs"/>
          <w:rtl/>
        </w:rPr>
        <w:t>ידי חובה</w:t>
      </w:r>
      <w:r>
        <w:rPr>
          <w:rFonts w:hint="cs"/>
          <w:rtl/>
        </w:rPr>
        <w:t xml:space="preserve"> מ</w:t>
      </w:r>
      <w:r w:rsidR="00600279">
        <w:rPr>
          <w:rFonts w:hint="cs"/>
          <w:rtl/>
        </w:rPr>
        <w:t xml:space="preserve">קריאת </w:t>
      </w:r>
      <w:r>
        <w:rPr>
          <w:rFonts w:hint="cs"/>
          <w:rtl/>
        </w:rPr>
        <w:t>"ויבא עמלק" ויש החולקים כי לא כתוב</w:t>
      </w:r>
      <w:r w:rsidR="00600279">
        <w:rPr>
          <w:rFonts w:hint="cs"/>
          <w:rtl/>
        </w:rPr>
        <w:t xml:space="preserve"> שם</w:t>
      </w:r>
      <w:r>
        <w:rPr>
          <w:rFonts w:hint="cs"/>
          <w:rtl/>
        </w:rPr>
        <w:t xml:space="preserve"> "תמחה את זכר עמלק".</w:t>
      </w:r>
      <w:r w:rsidR="00DA3451">
        <w:rPr>
          <w:rFonts w:hint="cs"/>
          <w:rtl/>
        </w:rPr>
        <w:t xml:space="preserve"> </w:t>
      </w:r>
      <w:r w:rsidR="00386E90">
        <w:rPr>
          <w:rFonts w:hint="cs"/>
          <w:rtl/>
        </w:rPr>
        <w:t>בנוסף הוא אומר ש</w:t>
      </w:r>
      <w:r w:rsidR="003C5C7D">
        <w:rPr>
          <w:rFonts w:hint="cs"/>
          <w:rtl/>
        </w:rPr>
        <w:t xml:space="preserve">עניין זכירת עמלק זה </w:t>
      </w:r>
      <w:r w:rsidR="003C5C7D" w:rsidRPr="00021193">
        <w:rPr>
          <w:rFonts w:hint="cs"/>
          <w:u w:val="single"/>
          <w:rtl/>
        </w:rPr>
        <w:t>מצד המלחמה</w:t>
      </w:r>
      <w:r w:rsidR="003C5C7D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ונשים </w:t>
      </w:r>
      <w:r w:rsidR="003C5C7D">
        <w:rPr>
          <w:rFonts w:hint="cs"/>
          <w:rtl/>
        </w:rPr>
        <w:t>שלא חייב</w:t>
      </w:r>
      <w:r>
        <w:rPr>
          <w:rFonts w:hint="cs"/>
          <w:rtl/>
        </w:rPr>
        <w:t>ות</w:t>
      </w:r>
      <w:r w:rsidR="003C5C7D">
        <w:rPr>
          <w:rFonts w:hint="cs"/>
          <w:rtl/>
        </w:rPr>
        <w:t xml:space="preserve"> במלחמה פטור</w:t>
      </w:r>
      <w:r>
        <w:rPr>
          <w:rFonts w:hint="cs"/>
          <w:rtl/>
        </w:rPr>
        <w:t>ות</w:t>
      </w:r>
      <w:r w:rsidR="003C5C7D">
        <w:rPr>
          <w:rFonts w:hint="cs"/>
          <w:rtl/>
        </w:rPr>
        <w:t xml:space="preserve"> גם מזכירת עמלק.</w:t>
      </w:r>
    </w:p>
    <w:p w14:paraId="069FC4AA" w14:textId="77777777" w:rsidR="00021193" w:rsidRDefault="00021193" w:rsidP="00112035">
      <w:pPr>
        <w:rPr>
          <w:rtl/>
        </w:rPr>
      </w:pPr>
      <w:r>
        <w:rPr>
          <w:rFonts w:hint="cs"/>
          <w:rtl/>
        </w:rPr>
        <w:t>לכן מנהג בהרבה קהילות ישראל שנשים פטורות משמיעת פרשת זכור.</w:t>
      </w:r>
    </w:p>
    <w:p w14:paraId="62EFC7CE" w14:textId="77777777" w:rsidR="003C5C7D" w:rsidRDefault="003C5C7D" w:rsidP="00112035">
      <w:pPr>
        <w:rPr>
          <w:rtl/>
        </w:rPr>
      </w:pPr>
      <w:r>
        <w:rPr>
          <w:rFonts w:hint="cs"/>
          <w:rtl/>
        </w:rPr>
        <w:t>בחינוך כתוב שנשים פטורות מזכירת עמלק כי הן אינן מצוות במלחמה.</w:t>
      </w:r>
    </w:p>
    <w:p w14:paraId="1DCA8594" w14:textId="3A4FB79E" w:rsidR="003C5C7D" w:rsidRDefault="003C5C7D" w:rsidP="00112035">
      <w:pPr>
        <w:rPr>
          <w:rtl/>
        </w:rPr>
      </w:pPr>
      <w:r>
        <w:rPr>
          <w:rFonts w:hint="cs"/>
          <w:rtl/>
        </w:rPr>
        <w:t>הרמב"ם בספר המצוות</w:t>
      </w:r>
      <w:r w:rsidR="00B46749">
        <w:rPr>
          <w:rStyle w:val="ab"/>
          <w:rtl/>
        </w:rPr>
        <w:footnoteReference w:id="14"/>
      </w:r>
      <w:r>
        <w:rPr>
          <w:rFonts w:hint="cs"/>
          <w:rtl/>
        </w:rPr>
        <w:t xml:space="preserve"> כותב שצוונו לזכור שנאמר בכל עת ולעורר הנפשות במאמרים להילחם בו.</w:t>
      </w:r>
      <w:r w:rsidR="00021193">
        <w:rPr>
          <w:rFonts w:hint="cs"/>
          <w:rtl/>
        </w:rPr>
        <w:t xml:space="preserve"> זה אומר שתכלית המצווה היא המלחמה. לכן אם התכלית היא הזכירה אז "ויבא עמלק" זה מספיק אבל אם זה המלחמה אז זה לא מספיק.</w:t>
      </w:r>
    </w:p>
    <w:p w14:paraId="0FD25745" w14:textId="77777777" w:rsidR="0038014C" w:rsidRDefault="00E22385" w:rsidP="00112035">
      <w:pPr>
        <w:rPr>
          <w:rtl/>
        </w:rPr>
      </w:pPr>
      <w:r>
        <w:rPr>
          <w:rFonts w:hint="cs"/>
          <w:rtl/>
        </w:rPr>
        <w:t>יכול להיות עוד טעם לפטירת נשים ממצוות זכור. תורת כהנים</w:t>
      </w:r>
      <w:r w:rsidR="00920DDC">
        <w:rPr>
          <w:rStyle w:val="ab"/>
          <w:rtl/>
        </w:rPr>
        <w:footnoteReference w:id="15"/>
      </w:r>
      <w:r>
        <w:rPr>
          <w:rFonts w:hint="cs"/>
          <w:rtl/>
        </w:rPr>
        <w:t xml:space="preserve"> </w:t>
      </w:r>
      <w:r w:rsidR="00BC1AD2">
        <w:rPr>
          <w:rFonts w:hint="cs"/>
          <w:rtl/>
        </w:rPr>
        <w:t>כותב</w:t>
      </w:r>
      <w:r w:rsidRPr="007D1C2D">
        <w:rPr>
          <w:rFonts w:hint="cs"/>
          <w:rtl/>
        </w:rPr>
        <w:t>, "</w:t>
      </w:r>
      <w:r w:rsidR="007D1C2D" w:rsidRPr="007D1C2D">
        <w:rPr>
          <w:rFonts w:ascii="Helvetica" w:hAnsi="Helvetica"/>
          <w:color w:val="000000"/>
          <w:shd w:val="clear" w:color="auto" w:fill="FEFEFE"/>
          <w:rtl/>
        </w:rPr>
        <w:t xml:space="preserve">מה אני מקיים: זכור? שתהיה </w:t>
      </w:r>
      <w:r w:rsidR="007D1C2D" w:rsidRPr="00B8437A">
        <w:rPr>
          <w:rFonts w:ascii="Helvetica" w:hAnsi="Helvetica"/>
          <w:color w:val="000000"/>
          <w:u w:val="single"/>
          <w:shd w:val="clear" w:color="auto" w:fill="FEFEFE"/>
          <w:rtl/>
        </w:rPr>
        <w:t>שונה בפיך</w:t>
      </w:r>
      <w:r w:rsidRPr="007D1C2D">
        <w:rPr>
          <w:rFonts w:hint="cs"/>
          <w:rtl/>
        </w:rPr>
        <w:t>".</w:t>
      </w:r>
    </w:p>
    <w:p w14:paraId="2C9BBC2A" w14:textId="4C3722F1" w:rsidR="004A536D" w:rsidRDefault="00E22385" w:rsidP="00112035">
      <w:pPr>
        <w:rPr>
          <w:rtl/>
        </w:rPr>
      </w:pPr>
      <w:r w:rsidRPr="007D1C2D">
        <w:rPr>
          <w:rFonts w:hint="cs"/>
          <w:rtl/>
        </w:rPr>
        <w:t>ה</w:t>
      </w:r>
      <w:r>
        <w:rPr>
          <w:rFonts w:hint="cs"/>
          <w:rtl/>
        </w:rPr>
        <w:t>ראב"ד</w:t>
      </w:r>
      <w:r w:rsidR="00D86ED3">
        <w:rPr>
          <w:rStyle w:val="ab"/>
          <w:rtl/>
        </w:rPr>
        <w:footnoteReference w:id="16"/>
      </w:r>
      <w:r w:rsidR="00D86ED3">
        <w:rPr>
          <w:rFonts w:hint="cs"/>
          <w:rtl/>
        </w:rPr>
        <w:t xml:space="preserve"> כותב </w:t>
      </w:r>
      <w:r>
        <w:rPr>
          <w:rFonts w:hint="cs"/>
          <w:rtl/>
        </w:rPr>
        <w:t>"</w:t>
      </w:r>
      <w:r w:rsidR="00D86ED3">
        <w:rPr>
          <w:rFonts w:hint="cs"/>
          <w:rtl/>
        </w:rPr>
        <w:t xml:space="preserve">זכרון עמלק – </w:t>
      </w:r>
      <w:r>
        <w:rPr>
          <w:rFonts w:hint="cs"/>
          <w:rtl/>
        </w:rPr>
        <w:t xml:space="preserve">שתהיה שונה בפיך הלכות מגילה". עיקר הקיום של זכירת עמלק זה ע"י לימוד ההלכות של מחיית עמלק וכיו"ב. לכן נשים פטורות מזה כי הן פטורות </w:t>
      </w:r>
      <w:r w:rsidRPr="002C5A15">
        <w:rPr>
          <w:rtl/>
        </w:rPr>
        <w:t>מתלמוד תורה.</w:t>
      </w:r>
    </w:p>
    <w:p w14:paraId="410DAE55" w14:textId="75AD0A16" w:rsidR="00112035" w:rsidRPr="00142539" w:rsidRDefault="00021193" w:rsidP="00112035">
      <w:pPr>
        <w:rPr>
          <w:rtl/>
        </w:rPr>
      </w:pPr>
      <w:r>
        <w:rPr>
          <w:rFonts w:hint="cs"/>
          <w:rtl/>
        </w:rPr>
        <w:t>אבל יש להקשות על פירוש זה, אם כל העניין זה עצם הלימוד אז לכאורה לא צריך ס"ת ומניין, אלא כל אחד יכול ללמוד בעצמו בבית.</w:t>
      </w:r>
    </w:p>
    <w:sectPr w:rsidR="00112035" w:rsidRPr="00142539" w:rsidSect="00C461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3342" w14:textId="77777777" w:rsidR="000E2ADC" w:rsidRDefault="000E2ADC" w:rsidP="003C5C7D">
      <w:r>
        <w:separator/>
      </w:r>
    </w:p>
  </w:endnote>
  <w:endnote w:type="continuationSeparator" w:id="0">
    <w:p w14:paraId="57E3D587" w14:textId="77777777" w:rsidR="000E2ADC" w:rsidRDefault="000E2ADC" w:rsidP="003C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281E" w14:textId="77777777" w:rsidR="000E2ADC" w:rsidRDefault="000E2ADC" w:rsidP="003C5C7D">
      <w:r>
        <w:separator/>
      </w:r>
    </w:p>
  </w:footnote>
  <w:footnote w:type="continuationSeparator" w:id="0">
    <w:p w14:paraId="02FB480C" w14:textId="77777777" w:rsidR="000E2ADC" w:rsidRDefault="000E2ADC" w:rsidP="003C5C7D">
      <w:r>
        <w:continuationSeparator/>
      </w:r>
    </w:p>
  </w:footnote>
  <w:footnote w:id="1">
    <w:p w14:paraId="2617B777" w14:textId="6FFDCE0E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הל' מלכים פרק ה' הל' ד'-ה'</w:t>
      </w:r>
    </w:p>
  </w:footnote>
  <w:footnote w:id="2">
    <w:p w14:paraId="62D78BB2" w14:textId="3E4962FD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ספר יראים סימן תלה</w:t>
      </w:r>
    </w:p>
  </w:footnote>
  <w:footnote w:id="3">
    <w:p w14:paraId="1FC30E3C" w14:textId="1E95FB3A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ספר החינוך מצווה תר"ד (מחיית עמלק)</w:t>
      </w:r>
    </w:p>
  </w:footnote>
  <w:footnote w:id="4">
    <w:p w14:paraId="7BD057D5" w14:textId="3CEC8473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שמות פי"ז פס' ט"ז</w:t>
      </w:r>
    </w:p>
  </w:footnote>
  <w:footnote w:id="5">
    <w:p w14:paraId="0ED6A76F" w14:textId="36C6670B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הל' סנהדרין פי"ח ה"ו</w:t>
      </w:r>
    </w:p>
  </w:footnote>
  <w:footnote w:id="6">
    <w:p w14:paraId="4188F81A" w14:textId="28A64CCE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ב"מ פג:</w:t>
      </w:r>
    </w:p>
  </w:footnote>
  <w:footnote w:id="7">
    <w:p w14:paraId="2593881F" w14:textId="3A2360C4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מצווה תר"ג (זכירת מה שעשה עמלק)</w:t>
      </w:r>
    </w:p>
  </w:footnote>
  <w:footnote w:id="8">
    <w:p w14:paraId="37A8726B" w14:textId="1A5048BE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תר"ד</w:t>
      </w:r>
    </w:p>
  </w:footnote>
  <w:footnote w:id="9">
    <w:p w14:paraId="55D43EB1" w14:textId="46FA553C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מצווה תכ"ה (הריגת ז' עממים)</w:t>
      </w:r>
    </w:p>
  </w:footnote>
  <w:footnote w:id="10">
    <w:p w14:paraId="37623358" w14:textId="17FD2EC9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שם</w:t>
      </w:r>
    </w:p>
  </w:footnote>
  <w:footnote w:id="11">
    <w:p w14:paraId="16507D90" w14:textId="24ED9FDB" w:rsidR="00B46749" w:rsidRPr="00920DDC" w:rsidRDefault="00B46749" w:rsidP="001352B9">
      <w:pPr>
        <w:rPr>
          <w:sz w:val="20"/>
          <w:szCs w:val="20"/>
        </w:rPr>
      </w:pPr>
      <w:r w:rsidRPr="00920DDC">
        <w:rPr>
          <w:rStyle w:val="ab"/>
          <w:sz w:val="20"/>
          <w:szCs w:val="20"/>
        </w:rPr>
        <w:footnoteRef/>
      </w:r>
      <w:r w:rsidRPr="00920DDC">
        <w:rPr>
          <w:sz w:val="20"/>
          <w:szCs w:val="20"/>
          <w:rtl/>
        </w:rPr>
        <w:t xml:space="preserve"> הלכות מלכים פ"ז ה"ד</w:t>
      </w:r>
    </w:p>
  </w:footnote>
  <w:footnote w:id="12">
    <w:p w14:paraId="70C9484E" w14:textId="26D6A1DE" w:rsidR="00782AE7" w:rsidRDefault="00782AE7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שם</w:t>
      </w:r>
    </w:p>
  </w:footnote>
  <w:footnote w:id="13">
    <w:p w14:paraId="7DBBEACD" w14:textId="6669E3A6" w:rsidR="00AD2BBB" w:rsidRDefault="00AD2BBB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 w:rsidR="00E5079F">
        <w:rPr>
          <w:rFonts w:hint="cs"/>
          <w:rtl/>
        </w:rPr>
        <w:t xml:space="preserve">או"ח </w:t>
      </w:r>
      <w:r>
        <w:rPr>
          <w:rFonts w:hint="cs"/>
          <w:rtl/>
        </w:rPr>
        <w:t>סימן תרפ"ה</w:t>
      </w:r>
    </w:p>
  </w:footnote>
  <w:footnote w:id="14">
    <w:p w14:paraId="1129EB5B" w14:textId="1B6A4348" w:rsidR="00B46749" w:rsidRPr="003C5C7D" w:rsidRDefault="00B46749" w:rsidP="00920DDC">
      <w:pPr>
        <w:pStyle w:val="a5"/>
        <w:rPr>
          <w:rtl/>
        </w:rPr>
      </w:pPr>
      <w:r w:rsidRPr="003C5C7D"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מצוות עשה קפ"ט</w:t>
      </w:r>
    </w:p>
  </w:footnote>
  <w:footnote w:id="15">
    <w:p w14:paraId="78FDDC53" w14:textId="3CFD4E4D" w:rsidR="00920DDC" w:rsidRPr="00920DDC" w:rsidRDefault="00920DDC" w:rsidP="00920DDC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בתחילת פרשת בחוקתי</w:t>
      </w:r>
    </w:p>
  </w:footnote>
  <w:footnote w:id="16">
    <w:p w14:paraId="7A4455E2" w14:textId="68A67288" w:rsidR="00D86ED3" w:rsidRPr="00D86ED3" w:rsidRDefault="00D86ED3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color w:val="4472C4" w:themeColor="accent1"/>
          <w:u w:val="single"/>
          <w:rtl/>
        </w:rPr>
        <w:t>בפירושו על התורת כהנים שם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68B3" w14:textId="19F9FDB4" w:rsidR="003C5C7D" w:rsidRDefault="003C5C7D" w:rsidP="004A536D">
    <w:pPr>
      <w:pStyle w:val="a9"/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ו' </w:t>
    </w:r>
    <w:r w:rsidRPr="004A536D">
      <w:rPr>
        <w:rFonts w:hint="cs"/>
        <w:rtl/>
      </w:rPr>
      <w:t>באדר</w:t>
    </w:r>
    <w:r>
      <w:rPr>
        <w:rFonts w:hint="cs"/>
        <w:rtl/>
      </w:rPr>
      <w:t xml:space="preserve"> ב'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09A2E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9A"/>
    <w:rsid w:val="00020EE5"/>
    <w:rsid w:val="00021193"/>
    <w:rsid w:val="00031CFA"/>
    <w:rsid w:val="000919DA"/>
    <w:rsid w:val="00092460"/>
    <w:rsid w:val="000C6B18"/>
    <w:rsid w:val="000E2ADC"/>
    <w:rsid w:val="00112035"/>
    <w:rsid w:val="001139BF"/>
    <w:rsid w:val="001352B9"/>
    <w:rsid w:val="00142539"/>
    <w:rsid w:val="00147567"/>
    <w:rsid w:val="001C43E8"/>
    <w:rsid w:val="001F3942"/>
    <w:rsid w:val="00245CBB"/>
    <w:rsid w:val="002865BA"/>
    <w:rsid w:val="002C5A15"/>
    <w:rsid w:val="002D6509"/>
    <w:rsid w:val="00306E21"/>
    <w:rsid w:val="00345EB8"/>
    <w:rsid w:val="0038014C"/>
    <w:rsid w:val="00386E90"/>
    <w:rsid w:val="003C5C7D"/>
    <w:rsid w:val="00434605"/>
    <w:rsid w:val="004372FA"/>
    <w:rsid w:val="00466173"/>
    <w:rsid w:val="004A536D"/>
    <w:rsid w:val="005422CD"/>
    <w:rsid w:val="00600279"/>
    <w:rsid w:val="006039C6"/>
    <w:rsid w:val="006140F2"/>
    <w:rsid w:val="0066099A"/>
    <w:rsid w:val="00696165"/>
    <w:rsid w:val="00702AD1"/>
    <w:rsid w:val="0073119E"/>
    <w:rsid w:val="0076012A"/>
    <w:rsid w:val="00782AE7"/>
    <w:rsid w:val="007D1C2D"/>
    <w:rsid w:val="00883099"/>
    <w:rsid w:val="008C191A"/>
    <w:rsid w:val="00920DDC"/>
    <w:rsid w:val="00971C95"/>
    <w:rsid w:val="009B4B4D"/>
    <w:rsid w:val="00A1414B"/>
    <w:rsid w:val="00A15F1C"/>
    <w:rsid w:val="00A71461"/>
    <w:rsid w:val="00AC76FD"/>
    <w:rsid w:val="00AD2BBB"/>
    <w:rsid w:val="00B46749"/>
    <w:rsid w:val="00B8437A"/>
    <w:rsid w:val="00B850DE"/>
    <w:rsid w:val="00BA7599"/>
    <w:rsid w:val="00BC1AD2"/>
    <w:rsid w:val="00BC3675"/>
    <w:rsid w:val="00BF229B"/>
    <w:rsid w:val="00C461A6"/>
    <w:rsid w:val="00D86ED3"/>
    <w:rsid w:val="00DA3451"/>
    <w:rsid w:val="00E05CF5"/>
    <w:rsid w:val="00E22385"/>
    <w:rsid w:val="00E31973"/>
    <w:rsid w:val="00E5079F"/>
    <w:rsid w:val="00E645D8"/>
    <w:rsid w:val="00E67F54"/>
    <w:rsid w:val="00E83728"/>
    <w:rsid w:val="00F07E9C"/>
    <w:rsid w:val="00F9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B77"/>
  <w15:chartTrackingRefBased/>
  <w15:docId w15:val="{AD57BCDB-0059-491A-978F-0AA72152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B18"/>
  </w:style>
  <w:style w:type="paragraph" w:styleId="1">
    <w:name w:val="heading 1"/>
    <w:basedOn w:val="a"/>
    <w:next w:val="a"/>
    <w:link w:val="10"/>
    <w:uiPriority w:val="9"/>
    <w:qFormat/>
    <w:rsid w:val="001352B9"/>
    <w:pPr>
      <w:outlineLvl w:val="0"/>
    </w:pPr>
    <w:rPr>
      <w:rFonts w:ascii="Secular One" w:hAnsi="Secular One" w:cstheme="majorBidi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352B9"/>
    <w:pPr>
      <w:outlineLvl w:val="1"/>
    </w:pPr>
    <w:rPr>
      <w:rFonts w:ascii="Heebo Medium" w:hAnsi="Heebo Medium" w:cstheme="min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1352B9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1352B9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1352B9"/>
    <w:rPr>
      <w:rFonts w:ascii="Secular One" w:hAnsi="Secular One" w:cstheme="majorBidi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1352B9"/>
    <w:rPr>
      <w:rFonts w:ascii="Heebo Medium" w:hAnsi="Heebo Medium" w:cstheme="minorBidi"/>
      <w:sz w:val="26"/>
      <w:szCs w:val="26"/>
    </w:rPr>
  </w:style>
  <w:style w:type="paragraph" w:styleId="a5">
    <w:name w:val="footnote text"/>
    <w:basedOn w:val="a"/>
    <w:link w:val="a6"/>
    <w:uiPriority w:val="99"/>
    <w:unhideWhenUsed/>
    <w:rsid w:val="00920DDC"/>
    <w:rPr>
      <w:rFonts w:cstheme="minorBidi"/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920DDC"/>
    <w:rPr>
      <w:rFonts w:cstheme="min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A536D"/>
  </w:style>
  <w:style w:type="character" w:customStyle="1" w:styleId="a8">
    <w:name w:val="כותרת עליונה תו"/>
    <w:basedOn w:val="a0"/>
    <w:link w:val="a7"/>
    <w:uiPriority w:val="99"/>
    <w:rsid w:val="004A536D"/>
  </w:style>
  <w:style w:type="paragraph" w:styleId="a9">
    <w:name w:val="footer"/>
    <w:basedOn w:val="a7"/>
    <w:link w:val="aa"/>
    <w:uiPriority w:val="99"/>
    <w:unhideWhenUsed/>
    <w:rsid w:val="004A536D"/>
  </w:style>
  <w:style w:type="character" w:customStyle="1" w:styleId="aa">
    <w:name w:val="כותרת תחתונה תו"/>
    <w:basedOn w:val="a0"/>
    <w:link w:val="a9"/>
    <w:uiPriority w:val="99"/>
    <w:rsid w:val="004A536D"/>
  </w:style>
  <w:style w:type="character" w:styleId="ab">
    <w:name w:val="footnote reference"/>
    <w:basedOn w:val="a0"/>
    <w:uiPriority w:val="99"/>
    <w:semiHidden/>
    <w:unhideWhenUsed/>
    <w:rsid w:val="00971C95"/>
    <w:rPr>
      <w:vertAlign w:val="superscript"/>
    </w:rPr>
  </w:style>
  <w:style w:type="character" w:styleId="ac">
    <w:name w:val="Strong"/>
    <w:aliases w:val="ציטוט."/>
    <w:uiPriority w:val="10"/>
    <w:qFormat/>
    <w:rsid w:val="001352B9"/>
    <w:rPr>
      <w:rFonts w:ascii="Shofar" w:hAnsi="Shofar" w:cs="Guttman Keren"/>
    </w:rPr>
  </w:style>
  <w:style w:type="paragraph" w:styleId="ad">
    <w:name w:val="No Spacing"/>
    <w:uiPriority w:val="11"/>
    <w:rsid w:val="004A536D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971C95"/>
    <w:rPr>
      <w:i/>
      <w:iCs/>
      <w:color w:val="404040" w:themeColor="text1" w:themeTint="BF"/>
    </w:rPr>
  </w:style>
  <w:style w:type="paragraph" w:styleId="af">
    <w:name w:val="Quote"/>
    <w:aliases w:val="חכחכחכ"/>
    <w:basedOn w:val="a"/>
    <w:next w:val="a"/>
    <w:link w:val="af0"/>
    <w:uiPriority w:val="29"/>
    <w:qFormat/>
    <w:rsid w:val="001352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aliases w:val="חכחכחכ תו"/>
    <w:basedOn w:val="a0"/>
    <w:link w:val="af"/>
    <w:uiPriority w:val="29"/>
    <w:rsid w:val="001352B9"/>
    <w:rPr>
      <w:i/>
      <w:iCs/>
      <w:color w:val="404040" w:themeColor="text1" w:themeTint="BF"/>
    </w:rPr>
  </w:style>
  <w:style w:type="paragraph" w:customStyle="1" w:styleId="af1">
    <w:name w:val="מודגש"/>
    <w:basedOn w:val="a"/>
    <w:rsid w:val="000C6B18"/>
    <w:rPr>
      <w:bCs/>
    </w:rPr>
  </w:style>
  <w:style w:type="character" w:styleId="Hyperlink">
    <w:name w:val="Hyperlink"/>
    <w:basedOn w:val="a0"/>
    <w:uiPriority w:val="99"/>
    <w:unhideWhenUsed/>
    <w:rsid w:val="00D86ED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86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ה שאני אוהב כרגע">
      <a:majorFont>
        <a:latin typeface="Calibri Light"/>
        <a:ea typeface=""/>
        <a:cs typeface="Guttman Keren"/>
      </a:majorFont>
      <a:minorFont>
        <a:latin typeface="Calibri"/>
        <a:ea typeface=""/>
        <a:cs typeface="Hadassah Friedlaende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DA4F-2095-4E29-8130-60773CED0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579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43</cp:revision>
  <dcterms:created xsi:type="dcterms:W3CDTF">2022-03-09T10:36:00Z</dcterms:created>
  <dcterms:modified xsi:type="dcterms:W3CDTF">2022-03-10T10:57:00Z</dcterms:modified>
</cp:coreProperties>
</file>