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5F39C" w14:textId="0FED6C39" w:rsidR="00E26164" w:rsidRDefault="00E26164" w:rsidP="00E26164">
      <w:pPr>
        <w:rPr>
          <w:rtl/>
        </w:rPr>
      </w:pPr>
      <w:r>
        <w:rPr>
          <w:rFonts w:hint="cs"/>
          <w:rtl/>
        </w:rPr>
        <w:t>הגמרא</w:t>
      </w:r>
      <w:r w:rsidR="000620C0">
        <w:rPr>
          <w:rStyle w:val="ab"/>
          <w:rtl/>
        </w:rPr>
        <w:footnoteReference w:id="1"/>
      </w:r>
      <w:r>
        <w:rPr>
          <w:rFonts w:hint="cs"/>
          <w:rtl/>
        </w:rPr>
        <w:t xml:space="preserve"> שואלת: "היינו רגל היינו בהמה".</w:t>
      </w:r>
    </w:p>
    <w:p w14:paraId="42DC1138" w14:textId="74369CE3" w:rsidR="00E26164" w:rsidRDefault="00E26164" w:rsidP="00E26164">
      <w:pPr>
        <w:rPr>
          <w:rtl/>
        </w:rPr>
      </w:pPr>
      <w:r>
        <w:rPr>
          <w:rFonts w:hint="cs"/>
          <w:rtl/>
        </w:rPr>
        <w:t xml:space="preserve">הקושייה לפי רש"י היא כפילות </w:t>
      </w:r>
      <w:r>
        <w:rPr>
          <w:rtl/>
        </w:rPr>
        <w:t>–</w:t>
      </w:r>
      <w:r>
        <w:rPr>
          <w:rFonts w:hint="cs"/>
          <w:rtl/>
        </w:rPr>
        <w:t xml:space="preserve"> למה צריך להשמיע לנו גם את המשפט השני שבהמה מועדת להלך כדרכה?</w:t>
      </w:r>
    </w:p>
    <w:p w14:paraId="6E2DB469" w14:textId="7ECD710D" w:rsidR="00E26164" w:rsidRDefault="00E26164" w:rsidP="00E26164">
      <w:pPr>
        <w:rPr>
          <w:rtl/>
        </w:rPr>
      </w:pPr>
      <w:r>
        <w:rPr>
          <w:rFonts w:hint="cs"/>
          <w:rtl/>
        </w:rPr>
        <w:t xml:space="preserve">תוס' למד שהקושייה היא למה שנינו "הבהמה מועדת", היה צריך לכתוב "כיצד הרגל מועדת </w:t>
      </w:r>
      <w:r w:rsidR="00D76F9F">
        <w:rPr>
          <w:rFonts w:hint="cs"/>
          <w:rtl/>
        </w:rPr>
        <w:t>לשבר כדרך הלוכה? להלך כדרכה ולשבר."</w:t>
      </w:r>
    </w:p>
    <w:p w14:paraId="48A6D11C" w14:textId="3050518A" w:rsidR="00E26164" w:rsidRDefault="00E26164" w:rsidP="00E26164">
      <w:pPr>
        <w:rPr>
          <w:rtl/>
        </w:rPr>
      </w:pPr>
      <w:r>
        <w:rPr>
          <w:rFonts w:hint="cs"/>
          <w:rtl/>
        </w:rPr>
        <w:t xml:space="preserve">הגמרא מתרצת </w:t>
      </w:r>
      <w:r w:rsidR="001A7957">
        <w:rPr>
          <w:rFonts w:hint="cs"/>
          <w:rtl/>
        </w:rPr>
        <w:t>"</w:t>
      </w:r>
      <w:r>
        <w:rPr>
          <w:rFonts w:hint="cs"/>
          <w:rtl/>
        </w:rPr>
        <w:t>תנא אבות ותנא תולדות</w:t>
      </w:r>
      <w:r w:rsidR="001A7957">
        <w:rPr>
          <w:rFonts w:hint="cs"/>
          <w:rtl/>
        </w:rPr>
        <w:t>"</w:t>
      </w:r>
      <w:r>
        <w:rPr>
          <w:rFonts w:hint="cs"/>
          <w:rtl/>
        </w:rPr>
        <w:t>.</w:t>
      </w:r>
    </w:p>
    <w:p w14:paraId="73991CA4" w14:textId="7BAB293A" w:rsidR="00E26164" w:rsidRDefault="00E26164" w:rsidP="00E26164">
      <w:pPr>
        <w:rPr>
          <w:rtl/>
        </w:rPr>
      </w:pPr>
      <w:r>
        <w:rPr>
          <w:rFonts w:hint="cs"/>
          <w:rtl/>
        </w:rPr>
        <w:t>רש"י</w:t>
      </w:r>
      <w:r w:rsidR="007F7025">
        <w:rPr>
          <w:rFonts w:hint="cs"/>
          <w:rtl/>
        </w:rPr>
        <w:t xml:space="preserve"> מסביר ש</w:t>
      </w:r>
      <w:r>
        <w:rPr>
          <w:rFonts w:hint="cs"/>
          <w:rtl/>
        </w:rPr>
        <w:t>הרישא מדברת על אבות והמשפט השני על תולדות.</w:t>
      </w:r>
    </w:p>
    <w:p w14:paraId="5F8496BE" w14:textId="18137B01" w:rsidR="00D76F9F" w:rsidRDefault="007337AD" w:rsidP="00E26164">
      <w:pPr>
        <w:rPr>
          <w:rtl/>
        </w:rPr>
      </w:pPr>
      <w:r>
        <w:rPr>
          <w:rFonts w:hint="cs"/>
          <w:rtl/>
        </w:rPr>
        <w:t xml:space="preserve">התורת חיים אומר </w:t>
      </w:r>
      <w:r w:rsidR="001A7957">
        <w:rPr>
          <w:rFonts w:hint="cs"/>
          <w:rtl/>
        </w:rPr>
        <w:t xml:space="preserve">שבהתחלה כתוב "לשבר בדרך הלוכה" ובסוף כתוב "להלך כדרכה ולשבר". התוספת של </w:t>
      </w:r>
      <w:r>
        <w:rPr>
          <w:rFonts w:hint="cs"/>
          <w:rtl/>
        </w:rPr>
        <w:t>"</w:t>
      </w:r>
      <w:r w:rsidR="001A7957" w:rsidRPr="001A7957">
        <w:rPr>
          <w:rFonts w:hint="cs"/>
          <w:u w:val="single"/>
          <w:rtl/>
        </w:rPr>
        <w:t>ו</w:t>
      </w:r>
      <w:r>
        <w:rPr>
          <w:rFonts w:hint="cs"/>
          <w:rtl/>
        </w:rPr>
        <w:t xml:space="preserve">לשבר" זה </w:t>
      </w:r>
      <w:r w:rsidR="001A7957">
        <w:rPr>
          <w:rFonts w:hint="cs"/>
          <w:rtl/>
        </w:rPr>
        <w:t xml:space="preserve">דווקא </w:t>
      </w:r>
      <w:r>
        <w:rPr>
          <w:rFonts w:hint="cs"/>
          <w:rtl/>
        </w:rPr>
        <w:t xml:space="preserve">בדבר אחר ולא בהלוכה </w:t>
      </w:r>
      <w:r>
        <w:rPr>
          <w:rtl/>
        </w:rPr>
        <w:t>–</w:t>
      </w:r>
      <w:r>
        <w:rPr>
          <w:rFonts w:hint="cs"/>
          <w:rtl/>
        </w:rPr>
        <w:t xml:space="preserve"> בגופה, בשליף שעליה וכו'. לכן זה תולדות בשונה מהרישא.</w:t>
      </w:r>
    </w:p>
    <w:p w14:paraId="7FA3FC3C" w14:textId="662AD37E" w:rsidR="007337AD" w:rsidRDefault="007F7025" w:rsidP="00E26164">
      <w:pPr>
        <w:rPr>
          <w:rtl/>
        </w:rPr>
      </w:pPr>
      <w:r>
        <w:rPr>
          <w:rFonts w:hint="cs"/>
          <w:rtl/>
        </w:rPr>
        <w:t>הגמרא שואלת לגבי המשנה הבאה</w:t>
      </w:r>
      <w:r w:rsidR="000620C0">
        <w:rPr>
          <w:rStyle w:val="ab"/>
          <w:rtl/>
        </w:rPr>
        <w:footnoteReference w:id="2"/>
      </w:r>
      <w:r w:rsidR="00961F33">
        <w:rPr>
          <w:rFonts w:hint="cs"/>
          <w:rtl/>
        </w:rPr>
        <w:t xml:space="preserve"> שמדברת על נזקי שן</w:t>
      </w:r>
      <w:r>
        <w:rPr>
          <w:rFonts w:hint="cs"/>
          <w:rtl/>
        </w:rPr>
        <w:t xml:space="preserve">, שהרי אין שם תולדות. רש"י </w:t>
      </w:r>
      <w:r w:rsidR="00E75CD2">
        <w:rPr>
          <w:rFonts w:hint="cs"/>
          <w:rtl/>
        </w:rPr>
        <w:t>מסביר את הקושיה –</w:t>
      </w:r>
      <w:r>
        <w:rPr>
          <w:rFonts w:hint="cs"/>
          <w:rtl/>
        </w:rPr>
        <w:t xml:space="preserve"> </w:t>
      </w:r>
      <w:r w:rsidR="00E75CD2">
        <w:rPr>
          <w:rFonts w:hint="cs"/>
          <w:rtl/>
        </w:rPr>
        <w:t xml:space="preserve">בסיפא של המשנה </w:t>
      </w:r>
      <w:r>
        <w:rPr>
          <w:rFonts w:hint="cs"/>
          <w:rtl/>
        </w:rPr>
        <w:t>כתוב "הבהמה מועדת לאכול פירות וירקות" וזה בבירור לא תולדה של שן אלא שן ממש.</w:t>
      </w:r>
    </w:p>
    <w:p w14:paraId="640001A2" w14:textId="5C0031B5" w:rsidR="007F7025" w:rsidRDefault="007F7025" w:rsidP="00E26164">
      <w:pPr>
        <w:rPr>
          <w:rtl/>
        </w:rPr>
      </w:pPr>
      <w:r>
        <w:rPr>
          <w:rFonts w:hint="cs"/>
          <w:rtl/>
        </w:rPr>
        <w:t>רב אשי מתרץ</w:t>
      </w:r>
      <w:r w:rsidR="007D18B6">
        <w:rPr>
          <w:rFonts w:hint="cs"/>
          <w:rtl/>
        </w:rPr>
        <w:t xml:space="preserve"> </w:t>
      </w:r>
      <w:r>
        <w:rPr>
          <w:rtl/>
        </w:rPr>
        <w:t>–</w:t>
      </w:r>
      <w:r w:rsidR="007D18B6">
        <w:rPr>
          <w:rFonts w:hint="cs"/>
          <w:rtl/>
        </w:rPr>
        <w:t xml:space="preserve"> הרישא </w:t>
      </w:r>
      <w:r>
        <w:rPr>
          <w:rFonts w:hint="cs"/>
          <w:rtl/>
        </w:rPr>
        <w:t>מדבר</w:t>
      </w:r>
      <w:r w:rsidR="007D18B6">
        <w:rPr>
          <w:rFonts w:hint="cs"/>
          <w:rtl/>
        </w:rPr>
        <w:t>ת</w:t>
      </w:r>
      <w:r>
        <w:rPr>
          <w:rFonts w:hint="cs"/>
          <w:rtl/>
        </w:rPr>
        <w:t xml:space="preserve"> על חיה </w:t>
      </w:r>
      <w:r w:rsidR="007D18B6">
        <w:rPr>
          <w:rFonts w:hint="cs"/>
          <w:rtl/>
        </w:rPr>
        <w:t xml:space="preserve">והסיפא </w:t>
      </w:r>
      <w:r>
        <w:rPr>
          <w:rFonts w:hint="cs"/>
          <w:rtl/>
        </w:rPr>
        <w:t>על בהמה.</w:t>
      </w:r>
      <w:r w:rsidR="00DF04AD">
        <w:rPr>
          <w:rFonts w:hint="cs"/>
          <w:rtl/>
        </w:rPr>
        <w:t xml:space="preserve"> זה שהמשנה כתבה קודם חיה, למרות שהפסוק קודם מדבר על בהמה, </w:t>
      </w:r>
      <w:r w:rsidR="00086B95">
        <w:rPr>
          <w:rFonts w:hint="cs"/>
          <w:rtl/>
        </w:rPr>
        <w:t xml:space="preserve">בא ללמדנו </w:t>
      </w:r>
      <w:r w:rsidR="00DF04AD">
        <w:rPr>
          <w:rFonts w:hint="cs"/>
          <w:rtl/>
        </w:rPr>
        <w:t>שחיה בכלל בהמה, ולכן אותו דין שיש לבהמה יש לחיה.</w:t>
      </w:r>
    </w:p>
    <w:p w14:paraId="4D22EC18" w14:textId="12A7C363" w:rsidR="00173EF3" w:rsidRDefault="00173EF3" w:rsidP="00E26164">
      <w:pPr>
        <w:rPr>
          <w:rtl/>
        </w:rPr>
      </w:pPr>
      <w:r>
        <w:rPr>
          <w:rFonts w:hint="cs"/>
          <w:rtl/>
        </w:rPr>
        <w:t>רש"י אומר שהלימוד שחיה בכלל בהמה הוא שכתוב "וזאת הבהמה אשר תאכלו" ואח"כ כתוב "איל צבי ויחמור". התורה מפרטת לגבי הבהמה אשר תאכלו, וחלק ממה שאוכלים זה חיות לכן חיה בכלל בהמה.</w:t>
      </w:r>
    </w:p>
    <w:p w14:paraId="76E6CC78" w14:textId="358BFECF" w:rsidR="00870D32" w:rsidRDefault="00173EF3" w:rsidP="00E26164">
      <w:pPr>
        <w:rPr>
          <w:rtl/>
        </w:rPr>
      </w:pPr>
      <w:r>
        <w:rPr>
          <w:rFonts w:hint="cs"/>
          <w:rtl/>
        </w:rPr>
        <w:t>תוס' חולק על רש</w:t>
      </w:r>
      <w:r w:rsidR="00870D32">
        <w:rPr>
          <w:rFonts w:hint="cs"/>
          <w:rtl/>
        </w:rPr>
        <w:t>"י ואומר שאי אפשר ללמוד מהדרשה של רש"י, כי מה שכתוב "וזאת הבהמה אשר תאכלו" מדבר רק על חיה ובהמה ולא על עופות</w:t>
      </w:r>
      <w:r w:rsidR="00E3691A">
        <w:rPr>
          <w:rFonts w:hint="cs"/>
          <w:rtl/>
        </w:rPr>
        <w:t>, ו</w:t>
      </w:r>
      <w:r w:rsidR="005C6EB2">
        <w:rPr>
          <w:rFonts w:hint="cs"/>
          <w:rtl/>
        </w:rPr>
        <w:t>במשנתנו</w:t>
      </w:r>
      <w:r w:rsidR="00E3691A">
        <w:rPr>
          <w:rFonts w:hint="cs"/>
          <w:rtl/>
        </w:rPr>
        <w:t xml:space="preserve"> מדובר גם על עופות (תרנגולים)</w:t>
      </w:r>
      <w:r w:rsidR="00870D32">
        <w:rPr>
          <w:rFonts w:hint="cs"/>
          <w:rtl/>
        </w:rPr>
        <w:t>. אלא לומדים את זה מ"</w:t>
      </w:r>
      <w:r w:rsidR="001A7957">
        <w:rPr>
          <w:rFonts w:hint="cs"/>
          <w:rtl/>
        </w:rPr>
        <w:t xml:space="preserve">וכל </w:t>
      </w:r>
      <w:r w:rsidR="00870D32">
        <w:rPr>
          <w:rFonts w:hint="cs"/>
          <w:rtl/>
        </w:rPr>
        <w:t xml:space="preserve">בהמתך" שנאמר לגבי שבת, </w:t>
      </w:r>
      <w:r w:rsidR="00E3691A">
        <w:rPr>
          <w:rFonts w:hint="cs"/>
          <w:rtl/>
        </w:rPr>
        <w:t xml:space="preserve">שמתרגמים שם "בהמה </w:t>
      </w:r>
      <w:r w:rsidR="00E3691A">
        <w:rPr>
          <w:rtl/>
        </w:rPr>
        <w:t>–</w:t>
      </w:r>
      <w:r w:rsidR="00E3691A">
        <w:rPr>
          <w:rFonts w:hint="cs"/>
          <w:rtl/>
        </w:rPr>
        <w:t xml:space="preserve"> בעירה".</w:t>
      </w:r>
    </w:p>
    <w:p w14:paraId="102E7CAA" w14:textId="490FAC48" w:rsidR="00173EF3" w:rsidRDefault="00870D32" w:rsidP="001A7957">
      <w:pPr>
        <w:rPr>
          <w:rtl/>
        </w:rPr>
      </w:pPr>
      <w:r>
        <w:rPr>
          <w:rFonts w:hint="cs"/>
          <w:rtl/>
        </w:rPr>
        <w:t>מובן למה תוס' לא מבאר כמו רש"י. אבל מדוע רש"י לא מפרש כמו תוס'?</w:t>
      </w:r>
    </w:p>
    <w:p w14:paraId="7951234A" w14:textId="2D0F9E8D" w:rsidR="001A7957" w:rsidRDefault="00E068ED" w:rsidP="001A7957">
      <w:pPr>
        <w:rPr>
          <w:rtl/>
        </w:rPr>
      </w:pPr>
      <w:r>
        <w:rPr>
          <w:rFonts w:hint="cs"/>
          <w:rtl/>
        </w:rPr>
        <w:t>המהר"י כ"ץ</w:t>
      </w:r>
      <w:r w:rsidR="001A7957">
        <w:rPr>
          <w:rFonts w:hint="cs"/>
          <w:rtl/>
        </w:rPr>
        <w:t xml:space="preserve"> </w:t>
      </w:r>
      <w:r w:rsidR="00DB2F88">
        <w:rPr>
          <w:rFonts w:hint="cs"/>
          <w:rtl/>
        </w:rPr>
        <w:t>אומר ש</w:t>
      </w:r>
      <w:r w:rsidR="00E03227">
        <w:rPr>
          <w:rFonts w:hint="cs"/>
          <w:rtl/>
        </w:rPr>
        <w:t>ניתן לומר ש</w:t>
      </w:r>
      <w:r w:rsidR="00DB2F88">
        <w:rPr>
          <w:rFonts w:hint="cs"/>
          <w:rtl/>
        </w:rPr>
        <w:t>תרנגול חייב בגלל תולדה דרגל, וזה לא אב.</w:t>
      </w:r>
      <w:r w:rsidR="00E03227">
        <w:rPr>
          <w:rFonts w:hint="cs"/>
          <w:rtl/>
        </w:rPr>
        <w:t xml:space="preserve"> לכן לא שנינו תולדות של רגל במשנה הבאה, כי כבר שנינו אותם במשנתנו. אבל לגבי שן המשנה הוצרכה לפרש בפני עצמה שזה נחשב אב.</w:t>
      </w:r>
      <w:r w:rsidR="00AE20D5">
        <w:rPr>
          <w:rFonts w:hint="cs"/>
          <w:rtl/>
        </w:rPr>
        <w:t xml:space="preserve"> לכן רש"י לא מסביר כמו תוס', כי לפי תוס' זה לא מסתדר**.</w:t>
      </w:r>
    </w:p>
    <w:p w14:paraId="721227D0" w14:textId="3D8E5890" w:rsidR="00E068ED" w:rsidRDefault="00E068ED" w:rsidP="00E068ED">
      <w:pPr>
        <w:rPr>
          <w:rtl/>
        </w:rPr>
      </w:pPr>
      <w:r>
        <w:rPr>
          <w:rFonts w:hint="cs"/>
          <w:rtl/>
        </w:rPr>
        <w:t>בית הלוי שואל למה זה משנה אם זה אב או תולדה, הרי אין נפק"מ, אז למה רש"י מפרש כך? וזה נשאר בצ"ע.</w:t>
      </w:r>
    </w:p>
    <w:p w14:paraId="277E2E03" w14:textId="16230966" w:rsidR="00E068ED" w:rsidRDefault="00173EF3" w:rsidP="00B24993">
      <w:pPr>
        <w:rPr>
          <w:rtl/>
        </w:rPr>
      </w:pPr>
      <w:r>
        <w:rPr>
          <w:rFonts w:hint="cs"/>
          <w:rtl/>
        </w:rPr>
        <w:t xml:space="preserve">תוס' ושלח את בעירה </w:t>
      </w:r>
      <w:r>
        <w:rPr>
          <w:rtl/>
        </w:rPr>
        <w:t>–</w:t>
      </w:r>
      <w:r>
        <w:rPr>
          <w:rFonts w:hint="cs"/>
          <w:rtl/>
        </w:rPr>
        <w:t xml:space="preserve"> כתוב </w:t>
      </w:r>
      <w:r w:rsidR="00494D06">
        <w:rPr>
          <w:rFonts w:hint="cs"/>
          <w:rtl/>
        </w:rPr>
        <w:t>במשנתנו</w:t>
      </w:r>
      <w:r>
        <w:rPr>
          <w:rFonts w:hint="cs"/>
          <w:rtl/>
        </w:rPr>
        <w:t xml:space="preserve"> שתרנגולים מועדים, ז"א שזה לא רק בהמה. למה המשנה </w:t>
      </w:r>
      <w:r w:rsidR="00122F53">
        <w:rPr>
          <w:rFonts w:hint="cs"/>
          <w:rtl/>
        </w:rPr>
        <w:t>הבאה</w:t>
      </w:r>
      <w:r>
        <w:rPr>
          <w:rFonts w:hint="cs"/>
          <w:rtl/>
        </w:rPr>
        <w:t xml:space="preserve"> לא מדברת על תולדות דשן?</w:t>
      </w:r>
    </w:p>
    <w:p w14:paraId="635281C5" w14:textId="18D60669" w:rsidR="00E068ED" w:rsidRDefault="00E068ED" w:rsidP="00870D32">
      <w:pPr>
        <w:rPr>
          <w:rtl/>
        </w:rPr>
      </w:pPr>
      <w:r>
        <w:rPr>
          <w:rFonts w:hint="cs"/>
          <w:rtl/>
        </w:rPr>
        <w:t>שטמ"ק</w:t>
      </w:r>
      <w:r w:rsidR="007C0BFC">
        <w:rPr>
          <w:rFonts w:hint="cs"/>
          <w:rtl/>
        </w:rPr>
        <w:t xml:space="preserve"> מביא את הגליון</w:t>
      </w:r>
      <w:r>
        <w:rPr>
          <w:rFonts w:hint="cs"/>
          <w:rtl/>
        </w:rPr>
        <w:t xml:space="preserve"> </w:t>
      </w:r>
      <w:r w:rsidR="007C0BFC">
        <w:rPr>
          <w:rFonts w:hint="cs"/>
          <w:rtl/>
        </w:rPr>
        <w:t>ש</w:t>
      </w:r>
      <w:r>
        <w:rPr>
          <w:rFonts w:hint="cs"/>
          <w:rtl/>
        </w:rPr>
        <w:t>שואל למה המשנה הוצרכה להשמיע גם שן דחיה וגם שן דבהמה, ועונה שהיינו חושבים שנכתב על בהמה שמועדת לאכול את הראוי לה, אז אולי חיה מועדת לאכול גם את שאינו ראוי לה, קמ"ל שגם חיה מועדת לאכול רק את הראוי לה.</w:t>
      </w:r>
    </w:p>
    <w:p w14:paraId="65C0ACD4" w14:textId="47DC4CB6" w:rsidR="00AA6C6E" w:rsidRDefault="00AA6C6E" w:rsidP="00870D32">
      <w:pPr>
        <w:rPr>
          <w:rtl/>
        </w:rPr>
      </w:pPr>
      <w:r>
        <w:rPr>
          <w:rFonts w:hint="cs"/>
          <w:rtl/>
        </w:rPr>
        <w:t>למה הוצרכה המשנה לחדש שן דחיה למרות שכבר כתוב על תרנגולים שזה רגל דחיה?</w:t>
      </w:r>
    </w:p>
    <w:p w14:paraId="6977C5FF" w14:textId="2EB21A44" w:rsidR="00AA6C6E" w:rsidRDefault="00AA6C6E" w:rsidP="00870D32">
      <w:pPr>
        <w:rPr>
          <w:rtl/>
        </w:rPr>
      </w:pPr>
      <w:r>
        <w:rPr>
          <w:rFonts w:hint="cs"/>
          <w:rtl/>
        </w:rPr>
        <w:t>התוס' והרשב"א אומרים ש"ניחא ליה לאשמועינן בתרוויהו בשן ורגל".</w:t>
      </w:r>
    </w:p>
    <w:p w14:paraId="01A67594" w14:textId="28BF4128" w:rsidR="00AA6C6E" w:rsidRDefault="00AA6C6E" w:rsidP="00870D32">
      <w:pPr>
        <w:rPr>
          <w:rtl/>
        </w:rPr>
      </w:pPr>
      <w:r>
        <w:rPr>
          <w:rFonts w:hint="cs"/>
          <w:rtl/>
        </w:rPr>
        <w:t>השטמ"ק אומר שאולי לחיה יש דין אחר</w:t>
      </w:r>
      <w:r w:rsidR="00111E7C">
        <w:rPr>
          <w:rFonts w:hint="cs"/>
          <w:rtl/>
        </w:rPr>
        <w:t xml:space="preserve"> שחייב</w:t>
      </w:r>
      <w:r>
        <w:rPr>
          <w:rFonts w:hint="cs"/>
          <w:rtl/>
        </w:rPr>
        <w:t xml:space="preserve"> ברה"ר, כי זה לא מקום שהיא הולכת שם (אורחיה).</w:t>
      </w:r>
    </w:p>
    <w:p w14:paraId="1B95B4CD" w14:textId="416D5997" w:rsidR="002C3C5E" w:rsidRDefault="00F93A66" w:rsidP="00690C63">
      <w:pPr>
        <w:rPr>
          <w:rtl/>
        </w:rPr>
      </w:pPr>
      <w:r>
        <w:rPr>
          <w:rFonts w:hint="cs"/>
          <w:rtl/>
        </w:rPr>
        <w:t>ר' חיים הלוי</w:t>
      </w:r>
      <w:r w:rsidR="00AA6C6E">
        <w:rPr>
          <w:rFonts w:hint="cs"/>
          <w:rtl/>
        </w:rPr>
        <w:t xml:space="preserve"> שואל, איך זה יכול להיות? הרי המקור לחיוב</w:t>
      </w:r>
      <w:r w:rsidR="00354BF0">
        <w:rPr>
          <w:rFonts w:hint="cs"/>
          <w:rtl/>
        </w:rPr>
        <w:t xml:space="preserve"> בחיה</w:t>
      </w:r>
      <w:r w:rsidR="00AA6C6E">
        <w:rPr>
          <w:rFonts w:hint="cs"/>
          <w:rtl/>
        </w:rPr>
        <w:t xml:space="preserve"> זה בהמה, ובהמה פטורה ברה"ר. אז למה יש ה"א שחיה חייבת ברה"ר?</w:t>
      </w:r>
      <w:r w:rsidR="00883A0C">
        <w:rPr>
          <w:rFonts w:hint="cs"/>
          <w:rtl/>
        </w:rPr>
        <w:t xml:space="preserve"> הוא מתרץ ש</w:t>
      </w:r>
      <w:r w:rsidR="002C3C5E">
        <w:rPr>
          <w:rFonts w:hint="cs"/>
          <w:rtl/>
        </w:rPr>
        <w:t>אם הסיבה המחייבת לגבי בהמה זה ממונך ושמירתו עליך, יכולה להיות ה"א שיהיה חייב</w:t>
      </w:r>
      <w:r w:rsidR="00D869BE">
        <w:rPr>
          <w:rFonts w:hint="cs"/>
          <w:rtl/>
        </w:rPr>
        <w:t xml:space="preserve"> בחיה</w:t>
      </w:r>
      <w:r w:rsidR="002C3C5E">
        <w:rPr>
          <w:rFonts w:hint="cs"/>
          <w:rtl/>
        </w:rPr>
        <w:t xml:space="preserve"> ברה"ר. קמ"ל שחיה בכלל בהמה </w:t>
      </w:r>
      <w:r w:rsidR="002C3C5E">
        <w:rPr>
          <w:rtl/>
        </w:rPr>
        <w:t>–</w:t>
      </w:r>
      <w:r w:rsidR="002C3C5E">
        <w:rPr>
          <w:rFonts w:hint="cs"/>
          <w:rtl/>
        </w:rPr>
        <w:t xml:space="preserve"> יש לחיה גם את הקולות של בהמה.</w:t>
      </w:r>
    </w:p>
    <w:p w14:paraId="6907FA0C" w14:textId="64DD04AA" w:rsidR="003B67A9" w:rsidRDefault="003B67A9" w:rsidP="00690C63">
      <w:pPr>
        <w:rPr>
          <w:rtl/>
        </w:rPr>
      </w:pPr>
      <w:r>
        <w:rPr>
          <w:rFonts w:hint="cs"/>
          <w:rtl/>
        </w:rPr>
        <w:t xml:space="preserve">יש מחלוקת בגמרא בין רבנן לסומכוס לגבי דין תשלום צרורות </w:t>
      </w:r>
      <w:r>
        <w:rPr>
          <w:rtl/>
        </w:rPr>
        <w:t>–</w:t>
      </w:r>
      <w:r>
        <w:rPr>
          <w:rFonts w:hint="cs"/>
          <w:rtl/>
        </w:rPr>
        <w:t xml:space="preserve"> רבנן אומרים ח"נ וסומכוס אומר נ"ש.</w:t>
      </w:r>
      <w:r w:rsidR="007B5457">
        <w:rPr>
          <w:rFonts w:hint="cs"/>
          <w:rtl/>
        </w:rPr>
        <w:t xml:space="preserve"> סומכוס אומר שצרורות או חזיר שנובר באשפה והתיז דברים שהזיקו חייב בנזק שלם.</w:t>
      </w:r>
    </w:p>
    <w:p w14:paraId="5CAE4C86" w14:textId="70B3B6CA" w:rsidR="00342D10" w:rsidRDefault="00A21D35" w:rsidP="00690C63">
      <w:pPr>
        <w:rPr>
          <w:rtl/>
        </w:rPr>
      </w:pPr>
      <w:r>
        <w:rPr>
          <w:rFonts w:hint="cs"/>
          <w:rtl/>
        </w:rPr>
        <w:t>איך זה הגיוני שיש מחלוקת לגבי הלכה למשה מסיני?</w:t>
      </w:r>
    </w:p>
    <w:p w14:paraId="586610FA" w14:textId="2572E096" w:rsidR="007B5596" w:rsidRDefault="007B5596" w:rsidP="00690C63">
      <w:pPr>
        <w:rPr>
          <w:rtl/>
        </w:rPr>
      </w:pPr>
      <w:r>
        <w:rPr>
          <w:rFonts w:hint="cs"/>
          <w:rtl/>
        </w:rPr>
        <w:t>תוס' אומר שחזיר שנובר באשפה זה תולדה דשן. רש"י מסביר שזה תולדה דרגל.</w:t>
      </w:r>
      <w:r w:rsidR="00815416">
        <w:rPr>
          <w:rFonts w:hint="cs"/>
          <w:rtl/>
        </w:rPr>
        <w:t xml:space="preserve"> אולי יש לפרש שדווקא צרורות דרגל זה הלכה למשה מסיני, ולא צרורות דשן.</w:t>
      </w:r>
    </w:p>
    <w:p w14:paraId="431E941D" w14:textId="19D2052F" w:rsidR="008B4ABE" w:rsidRDefault="008B4ABE" w:rsidP="00690C63">
      <w:pPr>
        <w:rPr>
          <w:rtl/>
        </w:rPr>
      </w:pPr>
      <w:r>
        <w:rPr>
          <w:rFonts w:hint="cs"/>
          <w:rtl/>
        </w:rPr>
        <w:t xml:space="preserve">המהר"ץ חיות אומר שממון המזיק זה חידוש. הסיכוי שזה יקרה הוא קלוש, ולמרות הכל חייב. בגרמא אדם פטור, כי הוא לא עשה פעולה ממשית, ואילו בממונו הוא חייב כי התורה חידשה ששמירתו עליך. בצרורות, שזה כביכול </w:t>
      </w:r>
      <w:r>
        <w:rPr>
          <w:rFonts w:hint="cs"/>
          <w:rtl/>
        </w:rPr>
        <w:lastRenderedPageBreak/>
        <w:t xml:space="preserve">גרמא של ממון המזיק, התורה חידשה שעדיין חייב. המחלוקת אינה על עצם העניין שיש הלכה למשה מסיני אלא על כמה התורה חייבה בצרורות. </w:t>
      </w:r>
    </w:p>
    <w:p w14:paraId="4422F12B" w14:textId="33ED67D8" w:rsidR="00F93A66" w:rsidRDefault="003745CC" w:rsidP="00690C63">
      <w:pPr>
        <w:rPr>
          <w:rtl/>
        </w:rPr>
      </w:pPr>
      <w:r>
        <w:rPr>
          <w:rFonts w:hint="cs"/>
          <w:rtl/>
        </w:rPr>
        <w:t>רבא שואל על הברייתא, שלדעת רבנן אם כחו כגופו אז צריך לשלם נזק שלם. ואם כחו לאו כגופו אז לא צריך לשלם כלום. אז מאיפה מגיע תשלום חצי נזק? ועונה שלעולם כחו כגופו וצרורות נלמד הלכה למשה מסיני.</w:t>
      </w:r>
    </w:p>
    <w:p w14:paraId="35B58DA8" w14:textId="49D9D3C5" w:rsidR="003745CC" w:rsidRDefault="003745CC" w:rsidP="00690C63">
      <w:pPr>
        <w:rPr>
          <w:rtl/>
        </w:rPr>
      </w:pPr>
      <w:r>
        <w:rPr>
          <w:rFonts w:hint="cs"/>
          <w:rtl/>
        </w:rPr>
        <w:t>למה רבא לא שאל שאלה זו על המשנה? הרי גם במשנה כתוב צרורות, אז למה הוא חיכה עד לברייתא בשביל לשאול את השאלה שלו?</w:t>
      </w:r>
    </w:p>
    <w:p w14:paraId="08ED7572" w14:textId="6FD78E10" w:rsidR="00FA43C8" w:rsidRDefault="00FA43C8" w:rsidP="00FA43C8">
      <w:pPr>
        <w:rPr>
          <w:rtl/>
        </w:rPr>
      </w:pPr>
      <w:r>
        <w:rPr>
          <w:rFonts w:hint="cs"/>
          <w:rtl/>
        </w:rPr>
        <w:t>הנחלת דוד שואל</w:t>
      </w:r>
      <w:r w:rsidR="00452A0F">
        <w:rPr>
          <w:rFonts w:hint="cs"/>
          <w:rtl/>
        </w:rPr>
        <w:t>, איזה ה"א יש שכוחו לא כגופו? הרי יש גמרות מפורשת שאומרות שכוחו כגופו.</w:t>
      </w:r>
    </w:p>
    <w:p w14:paraId="3B71E310" w14:textId="2101481F" w:rsidR="004513DB" w:rsidRDefault="004513DB" w:rsidP="00FA43C8">
      <w:pPr>
        <w:rPr>
          <w:rtl/>
        </w:rPr>
      </w:pPr>
      <w:r>
        <w:rPr>
          <w:rFonts w:hint="cs"/>
          <w:rtl/>
        </w:rPr>
        <w:t>אלא ודאי שבכל התורה כוחו כגופו, אבל כשהכוח הוא של השור ולא של האדם אז באמת יש מקום להסתפק.</w:t>
      </w:r>
    </w:p>
    <w:p w14:paraId="48D24E84" w14:textId="2071BAB7" w:rsidR="00857E0C" w:rsidRPr="00E26164" w:rsidRDefault="00A86659" w:rsidP="00372D50">
      <w:r>
        <w:rPr>
          <w:rFonts w:hint="cs"/>
          <w:rtl/>
        </w:rPr>
        <w:t>הרא"ש</w:t>
      </w:r>
      <w:r w:rsidR="00243589">
        <w:rPr>
          <w:rStyle w:val="ab"/>
          <w:rtl/>
        </w:rPr>
        <w:footnoteReference w:id="3"/>
      </w:r>
      <w:r w:rsidR="0069649A">
        <w:rPr>
          <w:rFonts w:hint="cs"/>
          <w:rtl/>
        </w:rPr>
        <w:t xml:space="preserve"> </w:t>
      </w:r>
      <w:r>
        <w:rPr>
          <w:rFonts w:hint="cs"/>
          <w:rtl/>
        </w:rPr>
        <w:t xml:space="preserve">שואל – לכאורה רבא יכול לתרץ באופן פשוט, שלעולם כוחו </w:t>
      </w:r>
      <w:r w:rsidRPr="00A86659">
        <w:rPr>
          <w:rFonts w:hint="cs"/>
          <w:u w:val="single"/>
          <w:rtl/>
        </w:rPr>
        <w:t>לאו כגופו</w:t>
      </w:r>
      <w:r>
        <w:rPr>
          <w:rFonts w:hint="cs"/>
          <w:rtl/>
        </w:rPr>
        <w:t xml:space="preserve"> ויש הלכה שלמרות שכוחו לאו כגופו התשלום הוא חצי נזק.</w:t>
      </w:r>
      <w:r w:rsidR="0069649A">
        <w:rPr>
          <w:rFonts w:hint="cs"/>
          <w:rtl/>
        </w:rPr>
        <w:t xml:space="preserve"> אלא שהלכה למשה מסיני תמיד תפקידה הוא להוריד את החיוב. אם היינו אומרים שכוחו לאו כגופו ואמור להיות פטור, אז ההלכה למשה מסיני של צרורות הייתה מוסיפה חיוב אז זה לא הגיוני</w:t>
      </w:r>
      <w:r w:rsidR="00506A72">
        <w:rPr>
          <w:rFonts w:hint="cs"/>
          <w:rtl/>
        </w:rPr>
        <w:t>.</w:t>
      </w:r>
    </w:p>
    <w:sectPr w:rsidR="00857E0C" w:rsidRPr="00E26164" w:rsidSect="00C461A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5F3F1" w14:textId="77777777" w:rsidR="009814E5" w:rsidRDefault="009814E5" w:rsidP="00E26164">
      <w:pPr>
        <w:spacing w:after="0"/>
      </w:pPr>
      <w:r>
        <w:separator/>
      </w:r>
    </w:p>
  </w:endnote>
  <w:endnote w:type="continuationSeparator" w:id="0">
    <w:p w14:paraId="21B37845" w14:textId="77777777" w:rsidR="009814E5" w:rsidRDefault="009814E5" w:rsidP="00E261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Heebo Medium">
    <w:panose1 w:val="00000600000000000000"/>
    <w:charset w:val="00"/>
    <w:family w:val="auto"/>
    <w:pitch w:val="variable"/>
    <w:sig w:usb0="00000803" w:usb1="40000001" w:usb2="00000000" w:usb3="00000000" w:csb0="0000002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03AF8" w14:textId="77777777" w:rsidR="009814E5" w:rsidRDefault="009814E5" w:rsidP="00E26164">
      <w:pPr>
        <w:spacing w:after="0"/>
      </w:pPr>
      <w:r>
        <w:separator/>
      </w:r>
    </w:p>
  </w:footnote>
  <w:footnote w:type="continuationSeparator" w:id="0">
    <w:p w14:paraId="0AF8CD63" w14:textId="77777777" w:rsidR="009814E5" w:rsidRDefault="009814E5" w:rsidP="00E26164">
      <w:pPr>
        <w:spacing w:after="0"/>
      </w:pPr>
      <w:r>
        <w:continuationSeparator/>
      </w:r>
    </w:p>
  </w:footnote>
  <w:footnote w:id="1">
    <w:p w14:paraId="225D9229" w14:textId="7BAC92DF" w:rsidR="000620C0" w:rsidRDefault="000620C0">
      <w:pPr>
        <w:pStyle w:val="a5"/>
        <w:rPr>
          <w:rFonts w:hint="cs"/>
          <w:rtl/>
        </w:rPr>
      </w:pPr>
      <w:r>
        <w:rPr>
          <w:rStyle w:val="ab"/>
        </w:rPr>
        <w:footnoteRef/>
      </w:r>
      <w:r>
        <w:rPr>
          <w:rtl/>
        </w:rPr>
        <w:t xml:space="preserve"> </w:t>
      </w:r>
      <w:r>
        <w:rPr>
          <w:rFonts w:hint="cs"/>
          <w:rtl/>
        </w:rPr>
        <w:t>יז: "א"ל רבינא לרבא"</w:t>
      </w:r>
    </w:p>
  </w:footnote>
  <w:footnote w:id="2">
    <w:p w14:paraId="140085E8" w14:textId="7A7FB270" w:rsidR="000620C0" w:rsidRDefault="000620C0">
      <w:pPr>
        <w:pStyle w:val="a5"/>
        <w:rPr>
          <w:rFonts w:hint="cs"/>
          <w:rtl/>
        </w:rPr>
      </w:pPr>
      <w:r>
        <w:rPr>
          <w:rStyle w:val="ab"/>
        </w:rPr>
        <w:footnoteRef/>
      </w:r>
      <w:r>
        <w:rPr>
          <w:rtl/>
        </w:rPr>
        <w:t xml:space="preserve"> </w:t>
      </w:r>
      <w:r>
        <w:rPr>
          <w:rFonts w:hint="cs"/>
          <w:rtl/>
        </w:rPr>
        <w:t>יט:</w:t>
      </w:r>
    </w:p>
  </w:footnote>
  <w:footnote w:id="3">
    <w:p w14:paraId="718C6BFE" w14:textId="46067B4A" w:rsidR="00243589" w:rsidRDefault="00243589">
      <w:pPr>
        <w:pStyle w:val="a5"/>
        <w:rPr>
          <w:rFonts w:hint="cs"/>
          <w:rtl/>
        </w:rPr>
      </w:pPr>
      <w:r>
        <w:rPr>
          <w:rStyle w:val="ab"/>
        </w:rPr>
        <w:footnoteRef/>
      </w:r>
      <w:r>
        <w:rPr>
          <w:rtl/>
        </w:rPr>
        <w:t xml:space="preserve"> </w:t>
      </w:r>
      <w:r>
        <w:rPr>
          <w:rFonts w:hint="cs"/>
          <w:rtl/>
        </w:rPr>
        <w:t>דף יט, סימן ב'</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40D61" w14:textId="33ACB1A9" w:rsidR="00E26164" w:rsidRDefault="00E26164">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961F33">
      <w:rPr>
        <w:rFonts w:ascii="Times New Roman" w:hAnsi="Times New Roman" w:cs="Times New Roman" w:hint="cs"/>
        <w:noProof/>
        <w:rtl/>
      </w:rPr>
      <w:t>‏</w:t>
    </w:r>
    <w:r w:rsidR="00961F33">
      <w:rPr>
        <w:rFonts w:hint="cs"/>
        <w:noProof/>
        <w:rtl/>
      </w:rPr>
      <w:t>י</w:t>
    </w:r>
    <w:r w:rsidR="00961F33">
      <w:rPr>
        <w:noProof/>
        <w:rtl/>
      </w:rPr>
      <w:t>"</w:t>
    </w:r>
    <w:r w:rsidR="00961F33">
      <w:rPr>
        <w:rFonts w:hint="cs"/>
        <w:noProof/>
        <w:rtl/>
      </w:rPr>
      <w:t>א</w:t>
    </w:r>
    <w:r w:rsidR="00961F33">
      <w:rPr>
        <w:noProof/>
        <w:rtl/>
      </w:rPr>
      <w:t xml:space="preserve"> </w:t>
    </w:r>
    <w:r w:rsidR="00961F33">
      <w:rPr>
        <w:rFonts w:hint="cs"/>
        <w:noProof/>
        <w:rtl/>
      </w:rPr>
      <w:t>אדר</w:t>
    </w:r>
    <w:r w:rsidR="00961F33">
      <w:rPr>
        <w:noProof/>
        <w:rtl/>
      </w:rPr>
      <w:t xml:space="preserve"> </w:t>
    </w:r>
    <w:r w:rsidR="00961F33">
      <w:rPr>
        <w:rFonts w:hint="cs"/>
        <w:noProof/>
        <w:rtl/>
      </w:rPr>
      <w:t>ב</w:t>
    </w:r>
    <w:r w:rsidR="00961F33">
      <w:rPr>
        <w:noProof/>
        <w:rtl/>
      </w:rPr>
      <w:t xml:space="preserve"> </w:t>
    </w:r>
    <w:r w:rsidR="00961F33">
      <w:rPr>
        <w:rFonts w:hint="cs"/>
        <w:noProof/>
        <w:rtl/>
      </w:rPr>
      <w:t>תשפ</w:t>
    </w:r>
    <w:r w:rsidR="00961F33">
      <w:rPr>
        <w:noProof/>
        <w:rtl/>
      </w:rPr>
      <w:t>"</w:t>
    </w:r>
    <w:r w:rsidR="00961F33">
      <w:rPr>
        <w:rFonts w:hint="cs"/>
        <w:noProof/>
        <w:rtl/>
      </w:rPr>
      <w:t>ב</w:t>
    </w:r>
    <w:r>
      <w:rPr>
        <w:rt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164"/>
    <w:rsid w:val="000620C0"/>
    <w:rsid w:val="00086B95"/>
    <w:rsid w:val="00111E7C"/>
    <w:rsid w:val="00122F53"/>
    <w:rsid w:val="00147567"/>
    <w:rsid w:val="00173EF3"/>
    <w:rsid w:val="001A7957"/>
    <w:rsid w:val="001F3942"/>
    <w:rsid w:val="00243589"/>
    <w:rsid w:val="00264875"/>
    <w:rsid w:val="002C3C5E"/>
    <w:rsid w:val="00342D10"/>
    <w:rsid w:val="00345EB8"/>
    <w:rsid w:val="00354BF0"/>
    <w:rsid w:val="00372D50"/>
    <w:rsid w:val="003745CC"/>
    <w:rsid w:val="003B67A9"/>
    <w:rsid w:val="003C3A41"/>
    <w:rsid w:val="004513DB"/>
    <w:rsid w:val="00452A0F"/>
    <w:rsid w:val="00486A90"/>
    <w:rsid w:val="00494D06"/>
    <w:rsid w:val="00506A72"/>
    <w:rsid w:val="005C6EB2"/>
    <w:rsid w:val="006140F2"/>
    <w:rsid w:val="006856EA"/>
    <w:rsid w:val="00690C63"/>
    <w:rsid w:val="00696165"/>
    <w:rsid w:val="0069649A"/>
    <w:rsid w:val="006F31E6"/>
    <w:rsid w:val="007337AD"/>
    <w:rsid w:val="00734E01"/>
    <w:rsid w:val="007B5457"/>
    <w:rsid w:val="007B5596"/>
    <w:rsid w:val="007C0BFC"/>
    <w:rsid w:val="007D18B6"/>
    <w:rsid w:val="007F7025"/>
    <w:rsid w:val="00815416"/>
    <w:rsid w:val="00857E0C"/>
    <w:rsid w:val="00870D32"/>
    <w:rsid w:val="00883A0C"/>
    <w:rsid w:val="008B4ABE"/>
    <w:rsid w:val="008E0E3E"/>
    <w:rsid w:val="009037B1"/>
    <w:rsid w:val="00961F33"/>
    <w:rsid w:val="00971C95"/>
    <w:rsid w:val="009814E5"/>
    <w:rsid w:val="009E3F02"/>
    <w:rsid w:val="00A21D35"/>
    <w:rsid w:val="00A37D57"/>
    <w:rsid w:val="00A71461"/>
    <w:rsid w:val="00A86659"/>
    <w:rsid w:val="00AA6C6E"/>
    <w:rsid w:val="00AE20D5"/>
    <w:rsid w:val="00B24993"/>
    <w:rsid w:val="00B3202C"/>
    <w:rsid w:val="00B63208"/>
    <w:rsid w:val="00C02963"/>
    <w:rsid w:val="00C14CA7"/>
    <w:rsid w:val="00C461A6"/>
    <w:rsid w:val="00D76F9F"/>
    <w:rsid w:val="00D869BE"/>
    <w:rsid w:val="00DB2F88"/>
    <w:rsid w:val="00DB4A42"/>
    <w:rsid w:val="00DE251B"/>
    <w:rsid w:val="00DF04AD"/>
    <w:rsid w:val="00E03227"/>
    <w:rsid w:val="00E068ED"/>
    <w:rsid w:val="00E1382F"/>
    <w:rsid w:val="00E26164"/>
    <w:rsid w:val="00E3691A"/>
    <w:rsid w:val="00E75CD2"/>
    <w:rsid w:val="00F045B7"/>
    <w:rsid w:val="00F93A66"/>
    <w:rsid w:val="00FA43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9559C"/>
  <w15:chartTrackingRefBased/>
  <w15:docId w15:val="{3ACBF15C-00F1-44FE-9AEA-13D3A96A7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02C"/>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B3202C"/>
    <w:pPr>
      <w:outlineLvl w:val="1"/>
    </w:pPr>
    <w:rPr>
      <w:rFonts w:ascii="Heebo Medium" w:hAnsi="Heebo Medium" w:cstheme="min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B3202C"/>
    <w:rPr>
      <w:rFonts w:ascii="Heebo Medium" w:hAnsi="Heebo Medium" w:cstheme="minorBidi"/>
      <w:sz w:val="26"/>
      <w:szCs w:val="26"/>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B3202C"/>
    <w:rPr>
      <w:rFonts w:ascii="Shofar" w:hAnsi="Shofar" w:cs="Guttman Keren"/>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aliases w:val="חכחכחכ"/>
    <w:basedOn w:val="a"/>
    <w:next w:val="a"/>
    <w:link w:val="af0"/>
    <w:uiPriority w:val="29"/>
    <w:qFormat/>
    <w:rsid w:val="00B3202C"/>
    <w:pPr>
      <w:spacing w:before="200" w:after="160"/>
      <w:ind w:left="864" w:right="864"/>
      <w:jc w:val="center"/>
    </w:pPr>
    <w:rPr>
      <w:i/>
      <w:iCs/>
      <w:color w:val="404040" w:themeColor="text1" w:themeTint="BF"/>
    </w:rPr>
  </w:style>
  <w:style w:type="character" w:customStyle="1" w:styleId="af0">
    <w:name w:val="ציטוט תו"/>
    <w:aliases w:val="חכחכחכ תו"/>
    <w:basedOn w:val="a0"/>
    <w:link w:val="af"/>
    <w:uiPriority w:val="29"/>
    <w:rsid w:val="00B3202C"/>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655</Words>
  <Characters>3279</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55</cp:revision>
  <dcterms:created xsi:type="dcterms:W3CDTF">2022-03-14T10:05:00Z</dcterms:created>
  <dcterms:modified xsi:type="dcterms:W3CDTF">2022-03-14T11:51:00Z</dcterms:modified>
</cp:coreProperties>
</file>