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64AD93" w14:textId="4B040B2C" w:rsidR="00A71461" w:rsidRDefault="00232E8A" w:rsidP="00370659">
      <w:pPr>
        <w:pStyle w:val="af"/>
        <w:rPr>
          <w:rtl/>
        </w:rPr>
      </w:pPr>
      <w:r w:rsidRPr="00232E8A">
        <w:rPr>
          <w:rtl/>
        </w:rPr>
        <w:t>אמר רבא</w:t>
      </w:r>
      <w:r w:rsidR="00B11E55">
        <w:rPr>
          <w:rFonts w:hint="cs"/>
          <w:rtl/>
        </w:rPr>
        <w:t>:</w:t>
      </w:r>
      <w:r w:rsidRPr="00232E8A">
        <w:rPr>
          <w:rtl/>
        </w:rPr>
        <w:t xml:space="preserve"> כל שבזב טמא בנזקין משלם נזק שלם</w:t>
      </w:r>
      <w:r w:rsidR="00BF7C82">
        <w:rPr>
          <w:rFonts w:hint="cs"/>
          <w:rtl/>
        </w:rPr>
        <w:t>,</w:t>
      </w:r>
      <w:r w:rsidRPr="00232E8A">
        <w:rPr>
          <w:rtl/>
        </w:rPr>
        <w:t xml:space="preserve"> כל שבזב טהור בנזקין משלם חצי נזק.</w:t>
      </w:r>
      <w:r w:rsidR="004C3727">
        <w:rPr>
          <w:rStyle w:val="ab"/>
          <w:rtl/>
        </w:rPr>
        <w:footnoteReference w:id="1"/>
      </w:r>
    </w:p>
    <w:p w14:paraId="1801DB79" w14:textId="14EB8048" w:rsidR="00232E8A" w:rsidRDefault="00232E8A" w:rsidP="00232E8A">
      <w:pPr>
        <w:rPr>
          <w:rtl/>
        </w:rPr>
      </w:pPr>
      <w:r>
        <w:rPr>
          <w:rFonts w:hint="cs"/>
          <w:rtl/>
        </w:rPr>
        <w:t>רש"י מסביר ש</w:t>
      </w:r>
      <w:r w:rsidR="00625444">
        <w:rPr>
          <w:rFonts w:hint="cs"/>
          <w:rtl/>
        </w:rPr>
        <w:t>מה שנטמא מזב זה ע"י</w:t>
      </w:r>
      <w:r>
        <w:rPr>
          <w:rFonts w:hint="cs"/>
          <w:rtl/>
        </w:rPr>
        <w:t xml:space="preserve"> נגיעה ממש, </w:t>
      </w:r>
      <w:r w:rsidR="00E65458">
        <w:rPr>
          <w:rFonts w:hint="cs"/>
          <w:rtl/>
        </w:rPr>
        <w:t xml:space="preserve">ומה שלא נטמא זה </w:t>
      </w:r>
      <w:r>
        <w:rPr>
          <w:rFonts w:hint="cs"/>
          <w:rtl/>
        </w:rPr>
        <w:t>כגון שזרק חפץ על אדם, ובנזיקין זה צרורות</w:t>
      </w:r>
      <w:r w:rsidR="003F64CF">
        <w:rPr>
          <w:rStyle w:val="ab"/>
          <w:rtl/>
        </w:rPr>
        <w:footnoteReference w:id="2"/>
      </w:r>
      <w:r>
        <w:rPr>
          <w:rFonts w:hint="cs"/>
          <w:rtl/>
        </w:rPr>
        <w:t xml:space="preserve"> ולכן משלם חצי נזק.</w:t>
      </w:r>
    </w:p>
    <w:p w14:paraId="3EB45D1E" w14:textId="4E8FCBB1" w:rsidR="00982A8E" w:rsidRDefault="00232E8A" w:rsidP="00232E8A">
      <w:pPr>
        <w:rPr>
          <w:rtl/>
        </w:rPr>
      </w:pPr>
      <w:r>
        <w:rPr>
          <w:rFonts w:hint="cs"/>
          <w:rtl/>
        </w:rPr>
        <w:t>הגמרא מעמידה את האמרה של רבא במקרה של "ע</w:t>
      </w:r>
      <w:r w:rsidR="00F01DF3">
        <w:rPr>
          <w:rFonts w:hint="cs"/>
          <w:rtl/>
        </w:rPr>
        <w:t>ֶ</w:t>
      </w:r>
      <w:r>
        <w:rPr>
          <w:rFonts w:hint="cs"/>
          <w:rtl/>
        </w:rPr>
        <w:t>גלה מושכת בקרון".</w:t>
      </w:r>
    </w:p>
    <w:p w14:paraId="0CEE9C24" w14:textId="4D9E541B" w:rsidR="00232E8A" w:rsidRDefault="00982A8E" w:rsidP="00232E8A">
      <w:pPr>
        <w:rPr>
          <w:rtl/>
        </w:rPr>
      </w:pPr>
      <w:r>
        <w:rPr>
          <w:rFonts w:hint="cs"/>
          <w:rtl/>
        </w:rPr>
        <w:t>רש"י מסביר ש</w:t>
      </w:r>
      <w:r w:rsidR="00232E8A">
        <w:rPr>
          <w:rFonts w:hint="cs"/>
          <w:rtl/>
        </w:rPr>
        <w:t xml:space="preserve">זה מקביל לזב שנמצא ע"ג קרון, וכל מה שמתחתיו נקרא </w:t>
      </w:r>
      <w:r w:rsidR="00232E8A" w:rsidRPr="00AA3574">
        <w:rPr>
          <w:rFonts w:hint="cs"/>
          <w:u w:val="single"/>
          <w:rtl/>
        </w:rPr>
        <w:t>מדרס הזב</w:t>
      </w:r>
      <w:r w:rsidR="00232E8A">
        <w:rPr>
          <w:rFonts w:hint="cs"/>
          <w:rtl/>
        </w:rPr>
        <w:t>, ולכן זה טמא, וכל מה שהקרון מתיז צרורות אז הוא לא מטמא. כך גם בנזיקין אם הקרון מתיז צרורות אז משלם חצי נזק.</w:t>
      </w:r>
    </w:p>
    <w:p w14:paraId="5C604F7B" w14:textId="4DD2DA44" w:rsidR="00232E8A" w:rsidRDefault="00232E8A" w:rsidP="00232E8A">
      <w:pPr>
        <w:rPr>
          <w:rtl/>
        </w:rPr>
      </w:pPr>
      <w:r>
        <w:rPr>
          <w:rFonts w:hint="cs"/>
          <w:rtl/>
        </w:rPr>
        <w:t>הנצי"ב</w:t>
      </w:r>
      <w:r w:rsidR="004C3727">
        <w:rPr>
          <w:rStyle w:val="ab"/>
          <w:rtl/>
        </w:rPr>
        <w:footnoteReference w:id="3"/>
      </w:r>
      <w:r>
        <w:rPr>
          <w:rFonts w:hint="cs"/>
          <w:rtl/>
        </w:rPr>
        <w:t xml:space="preserve"> אומר שאי אפשר להסביר שהכוונה היא נגיעה ממש, כי אם זה היה ככה אז היה אפשר לתת דוגמה מטמא מת. חוץ מזה, כאשר בהמה נוגעת בניזק ע"י בהמה אז בעל הבהמה חייב בנזק שלם. לכן הנצי"ב מסביר שכוונת הגמרא איננה נגיעה ממש או לא, אלא </w:t>
      </w:r>
      <w:r w:rsidRPr="00F31ED7">
        <w:rPr>
          <w:rFonts w:hint="cs"/>
          <w:u w:val="single"/>
          <w:rtl/>
        </w:rPr>
        <w:t>היסט</w:t>
      </w:r>
      <w:r w:rsidR="00D84090">
        <w:rPr>
          <w:rFonts w:hint="cs"/>
          <w:rtl/>
        </w:rPr>
        <w:t xml:space="preserve"> (זב מטמא בהיסט דבר שלא נגע בו)</w:t>
      </w:r>
      <w:r>
        <w:rPr>
          <w:rFonts w:hint="cs"/>
          <w:rtl/>
        </w:rPr>
        <w:t>.</w:t>
      </w:r>
    </w:p>
    <w:p w14:paraId="7A34237F" w14:textId="01AB0834" w:rsidR="004C3727" w:rsidRDefault="004C3727" w:rsidP="00232E8A">
      <w:pPr>
        <w:rPr>
          <w:rtl/>
        </w:rPr>
      </w:pPr>
      <w:r>
        <w:rPr>
          <w:rFonts w:hint="cs"/>
          <w:rtl/>
        </w:rPr>
        <w:t>המאירי</w:t>
      </w:r>
      <w:r w:rsidR="00A51BE1">
        <w:rPr>
          <w:rStyle w:val="ab"/>
          <w:rtl/>
        </w:rPr>
        <w:footnoteReference w:id="4"/>
      </w:r>
      <w:r>
        <w:rPr>
          <w:rFonts w:hint="cs"/>
          <w:rtl/>
        </w:rPr>
        <w:t xml:space="preserve"> באמת אומר כך, "אף בלא מגע גמור כגון היסט משלם נזק שלם".</w:t>
      </w:r>
      <w:r w:rsidR="00A51BE1">
        <w:rPr>
          <w:rFonts w:hint="cs"/>
          <w:rtl/>
        </w:rPr>
        <w:t xml:space="preserve"> </w:t>
      </w:r>
      <w:r w:rsidR="00D71444">
        <w:rPr>
          <w:rFonts w:hint="cs"/>
          <w:rtl/>
        </w:rPr>
        <w:t>כמו כן הוא</w:t>
      </w:r>
      <w:r w:rsidR="00A51BE1">
        <w:rPr>
          <w:rFonts w:hint="cs"/>
          <w:rtl/>
        </w:rPr>
        <w:t xml:space="preserve"> מוסיף שבדליל</w:t>
      </w:r>
      <w:r w:rsidR="00617A99">
        <w:rPr>
          <w:rStyle w:val="ab"/>
          <w:rtl/>
        </w:rPr>
        <w:footnoteReference w:id="5"/>
      </w:r>
      <w:r w:rsidR="00A51BE1">
        <w:rPr>
          <w:rFonts w:hint="cs"/>
          <w:rtl/>
        </w:rPr>
        <w:t xml:space="preserve"> הטעם לתשלום חצי נזק הוא לא משום צרורות אלא כי זה שינוי ונכלל בדין קרן.</w:t>
      </w:r>
    </w:p>
    <w:p w14:paraId="5C2D027F" w14:textId="5A2E6467" w:rsidR="00F01DF3" w:rsidRDefault="00F01DF3" w:rsidP="00232E8A">
      <w:pPr>
        <w:rPr>
          <w:rtl/>
        </w:rPr>
      </w:pPr>
      <w:r>
        <w:rPr>
          <w:rFonts w:hint="cs"/>
          <w:rtl/>
        </w:rPr>
        <w:t>התוס'</w:t>
      </w:r>
      <w:r w:rsidR="00B11E55">
        <w:rPr>
          <w:rStyle w:val="ab"/>
          <w:rtl/>
        </w:rPr>
        <w:footnoteReference w:id="6"/>
      </w:r>
      <w:r>
        <w:rPr>
          <w:rFonts w:hint="cs"/>
          <w:rtl/>
        </w:rPr>
        <w:t xml:space="preserve"> אומר</w:t>
      </w:r>
      <w:r w:rsidR="006D6D12">
        <w:rPr>
          <w:rFonts w:hint="cs"/>
          <w:rtl/>
        </w:rPr>
        <w:t xml:space="preserve"> לגבי זב שיש לו קנה בקומטו</w:t>
      </w:r>
      <w:r w:rsidR="006D6D12">
        <w:rPr>
          <w:rStyle w:val="ab"/>
          <w:rtl/>
        </w:rPr>
        <w:footnoteReference w:id="7"/>
      </w:r>
      <w:r w:rsidR="006D6D12">
        <w:rPr>
          <w:rFonts w:hint="cs"/>
          <w:rtl/>
        </w:rPr>
        <w:t xml:space="preserve"> שהקנה </w:t>
      </w:r>
      <w:r w:rsidR="003825BB">
        <w:rPr>
          <w:rFonts w:hint="cs"/>
          <w:rtl/>
        </w:rPr>
        <w:t xml:space="preserve">לא </w:t>
      </w:r>
      <w:r w:rsidR="006D6D12">
        <w:rPr>
          <w:rFonts w:hint="cs"/>
          <w:rtl/>
        </w:rPr>
        <w:t>מטמא, ולעניין נזיקין אין חילוק</w:t>
      </w:r>
      <w:r w:rsidR="005B311A">
        <w:rPr>
          <w:rFonts w:hint="cs"/>
          <w:rtl/>
        </w:rPr>
        <w:t xml:space="preserve"> כזה</w:t>
      </w:r>
      <w:r w:rsidR="006D6D12">
        <w:rPr>
          <w:rFonts w:hint="cs"/>
          <w:rtl/>
        </w:rPr>
        <w:t xml:space="preserve"> </w:t>
      </w:r>
      <w:r w:rsidR="006D6D12">
        <w:rPr>
          <w:rtl/>
        </w:rPr>
        <w:t>–</w:t>
      </w:r>
      <w:r w:rsidR="006D6D12">
        <w:rPr>
          <w:rFonts w:hint="cs"/>
          <w:rtl/>
        </w:rPr>
        <w:t xml:space="preserve">אם לאדם יש קנה בקומטו אז הוא יהיה </w:t>
      </w:r>
      <w:r w:rsidR="00883CEC">
        <w:rPr>
          <w:rFonts w:hint="cs"/>
          <w:rtl/>
        </w:rPr>
        <w:t>חייב</w:t>
      </w:r>
      <w:r w:rsidR="005B311A">
        <w:rPr>
          <w:rFonts w:hint="cs"/>
          <w:rtl/>
        </w:rPr>
        <w:t>, למרות שבזב הוא לא מטמא</w:t>
      </w:r>
      <w:r w:rsidR="00883CEC">
        <w:rPr>
          <w:rFonts w:hint="cs"/>
          <w:rtl/>
        </w:rPr>
        <w:t>.</w:t>
      </w:r>
    </w:p>
    <w:p w14:paraId="74F8B348" w14:textId="7D86317E" w:rsidR="00F01DF3" w:rsidRDefault="00F01DF3" w:rsidP="00232E8A">
      <w:pPr>
        <w:rPr>
          <w:rtl/>
        </w:rPr>
      </w:pPr>
      <w:r>
        <w:rPr>
          <w:rFonts w:hint="cs"/>
          <w:rtl/>
        </w:rPr>
        <w:t>הרשב"א</w:t>
      </w:r>
      <w:r w:rsidR="00B11E55">
        <w:rPr>
          <w:rStyle w:val="ab"/>
          <w:rtl/>
        </w:rPr>
        <w:footnoteReference w:id="8"/>
      </w:r>
      <w:r>
        <w:rPr>
          <w:rFonts w:hint="cs"/>
          <w:rtl/>
        </w:rPr>
        <w:t xml:space="preserve"> אומר שאם אדם עושה את זה אז מובן שהוא חייב, אבל כשבהמה עושה את זה אז יש חילוק, כי זה שינוי ולכן התשלום הוא חצי נזק.</w:t>
      </w:r>
    </w:p>
    <w:p w14:paraId="2025BA11" w14:textId="4272234C" w:rsidR="003035B3" w:rsidRDefault="003035B3" w:rsidP="00232E8A">
      <w:pPr>
        <w:rPr>
          <w:rtl/>
        </w:rPr>
      </w:pPr>
      <w:r>
        <w:rPr>
          <w:rFonts w:hint="cs"/>
          <w:rtl/>
        </w:rPr>
        <w:t>המאירי</w:t>
      </w:r>
      <w:r w:rsidR="0052530A">
        <w:rPr>
          <w:rStyle w:val="ab"/>
          <w:rtl/>
        </w:rPr>
        <w:footnoteReference w:id="9"/>
      </w:r>
      <w:r>
        <w:rPr>
          <w:rFonts w:hint="cs"/>
          <w:rtl/>
        </w:rPr>
        <w:t xml:space="preserve"> אומר שיש הגורסים "עגלה המושכת בקרון" </w:t>
      </w:r>
      <w:r>
        <w:rPr>
          <w:rtl/>
        </w:rPr>
        <w:t>–</w:t>
      </w:r>
      <w:r>
        <w:rPr>
          <w:rFonts w:hint="cs"/>
          <w:rtl/>
        </w:rPr>
        <w:t xml:space="preserve"> "עֲגלה המושכת" (בלי קרון)</w:t>
      </w:r>
      <w:r w:rsidR="00636A4D">
        <w:rPr>
          <w:rFonts w:hint="cs"/>
          <w:rtl/>
        </w:rPr>
        <w:t xml:space="preserve"> </w:t>
      </w:r>
      <w:r w:rsidR="00636A4D">
        <w:rPr>
          <w:rtl/>
        </w:rPr>
        <w:t>–</w:t>
      </w:r>
      <w:r w:rsidR="00636A4D">
        <w:rPr>
          <w:rFonts w:hint="cs"/>
          <w:rtl/>
        </w:rPr>
        <w:t xml:space="preserve"> מדובר על עגלה שיש בתוכה כלים </w:t>
      </w:r>
      <w:r w:rsidR="00BD5539">
        <w:rPr>
          <w:rFonts w:hint="cs"/>
          <w:rtl/>
        </w:rPr>
        <w:t>או אנשים, לעניין נזיקין מדובר על עגלה עם כלים בתוכה, ונשברו מחמת נדנודה, וחייב.</w:t>
      </w:r>
    </w:p>
    <w:p w14:paraId="066262C2" w14:textId="0BF623F1" w:rsidR="00636A4D" w:rsidRDefault="00636A4D" w:rsidP="00232E8A">
      <w:pPr>
        <w:rPr>
          <w:rtl/>
        </w:rPr>
      </w:pPr>
      <w:r>
        <w:rPr>
          <w:rFonts w:hint="cs"/>
          <w:rtl/>
        </w:rPr>
        <w:t>גם ר"ח</w:t>
      </w:r>
      <w:r w:rsidR="007C4D00">
        <w:rPr>
          <w:rStyle w:val="ab"/>
          <w:rtl/>
        </w:rPr>
        <w:footnoteReference w:id="10"/>
      </w:r>
      <w:r>
        <w:rPr>
          <w:rFonts w:hint="cs"/>
          <w:rtl/>
        </w:rPr>
        <w:t xml:space="preserve"> מביא את שתי הגרסאות האלה.</w:t>
      </w:r>
    </w:p>
    <w:p w14:paraId="7CCD8CF8" w14:textId="119AFCA4" w:rsidR="00B338DF" w:rsidRDefault="00B338DF" w:rsidP="00232E8A">
      <w:pPr>
        <w:rPr>
          <w:rtl/>
        </w:rPr>
      </w:pPr>
      <w:r>
        <w:rPr>
          <w:rFonts w:hint="cs"/>
          <w:rtl/>
        </w:rPr>
        <w:t xml:space="preserve">דרס כלי ונשבר כלי המחובר לו </w:t>
      </w:r>
      <w:r>
        <w:rPr>
          <w:rtl/>
        </w:rPr>
        <w:t>–</w:t>
      </w:r>
      <w:r>
        <w:rPr>
          <w:rFonts w:hint="cs"/>
          <w:rtl/>
        </w:rPr>
        <w:t xml:space="preserve"> האם זה נחשב צרורות או לא?</w:t>
      </w:r>
    </w:p>
    <w:p w14:paraId="01DAEC62" w14:textId="01A26A86" w:rsidR="00574998" w:rsidRDefault="00574998" w:rsidP="00232E8A">
      <w:pPr>
        <w:rPr>
          <w:rtl/>
        </w:rPr>
      </w:pPr>
      <w:r>
        <w:rPr>
          <w:rFonts w:hint="cs"/>
          <w:rtl/>
        </w:rPr>
        <w:t>אומר הרשב"א</w:t>
      </w:r>
      <w:r w:rsidR="00D44F4E">
        <w:rPr>
          <w:rStyle w:val="ab"/>
          <w:rtl/>
        </w:rPr>
        <w:footnoteReference w:id="11"/>
      </w:r>
      <w:r>
        <w:rPr>
          <w:rFonts w:hint="cs"/>
          <w:rtl/>
        </w:rPr>
        <w:t xml:space="preserve"> בשם הירושלמי</w:t>
      </w:r>
      <w:r w:rsidR="00D44F4E">
        <w:rPr>
          <w:rStyle w:val="ab"/>
          <w:rtl/>
        </w:rPr>
        <w:footnoteReference w:id="12"/>
      </w:r>
      <w:r w:rsidR="000522AB">
        <w:rPr>
          <w:rFonts w:hint="cs"/>
          <w:rtl/>
        </w:rPr>
        <w:t xml:space="preserve"> – </w:t>
      </w:r>
      <w:r>
        <w:rPr>
          <w:rFonts w:hint="cs"/>
          <w:rtl/>
        </w:rPr>
        <w:t>אם בהמה דרסה טבלה שיש עליה זכוכית אז משלם חצי נזק על הזכוכית</w:t>
      </w:r>
      <w:r w:rsidR="00D44F4E">
        <w:rPr>
          <w:rFonts w:hint="cs"/>
          <w:rtl/>
        </w:rPr>
        <w:t>, משמע שזה צרורות</w:t>
      </w:r>
      <w:r>
        <w:rPr>
          <w:rFonts w:hint="cs"/>
          <w:rtl/>
        </w:rPr>
        <w:t>.</w:t>
      </w:r>
    </w:p>
    <w:p w14:paraId="050E1560" w14:textId="1BC299D2" w:rsidR="00D44F4E" w:rsidRDefault="00D44F4E" w:rsidP="00232E8A">
      <w:pPr>
        <w:rPr>
          <w:rtl/>
        </w:rPr>
      </w:pPr>
      <w:r>
        <w:rPr>
          <w:rFonts w:hint="cs"/>
          <w:rtl/>
        </w:rPr>
        <w:t>הנצי"ב</w:t>
      </w:r>
      <w:r w:rsidR="00F31ED7">
        <w:rPr>
          <w:rStyle w:val="ab"/>
          <w:rtl/>
        </w:rPr>
        <w:footnoteReference w:id="13"/>
      </w:r>
      <w:r>
        <w:rPr>
          <w:rFonts w:hint="cs"/>
          <w:rtl/>
        </w:rPr>
        <w:t xml:space="preserve"> שואל על הירושלמי, </w:t>
      </w:r>
      <w:r w:rsidR="00FC7F1A">
        <w:rPr>
          <w:rFonts w:hint="cs"/>
          <w:rtl/>
        </w:rPr>
        <w:t>למה במקרה של טבלה שמונחת עליה זכוכית זה צרורות, ובעגלה המושכת בקרון זה נזק שלם?</w:t>
      </w:r>
    </w:p>
    <w:p w14:paraId="5111F724" w14:textId="66DFCC29" w:rsidR="005F66DC" w:rsidRDefault="00BF4ED6" w:rsidP="00232E8A">
      <w:pPr>
        <w:rPr>
          <w:rtl/>
        </w:rPr>
      </w:pPr>
      <w:r>
        <w:rPr>
          <w:rFonts w:hint="cs"/>
          <w:rtl/>
        </w:rPr>
        <w:t>הגמרא ממשיכה ושואלת</w:t>
      </w:r>
      <w:r w:rsidR="00020942">
        <w:rPr>
          <w:rFonts w:hint="cs"/>
          <w:rtl/>
        </w:rPr>
        <w:t xml:space="preserve"> האם במקרה שבהמה דרסה כלי ולא שברתו, ואז הוא התגלגל למקום אחר ונשבר, האם בעל הבהמה חייב נ"ש או שמא זה צרורות וחייב ח"נ </w:t>
      </w:r>
      <w:r w:rsidR="00020942">
        <w:rPr>
          <w:rtl/>
        </w:rPr>
        <w:t>–</w:t>
      </w:r>
      <w:r w:rsidR="00020942">
        <w:rPr>
          <w:rFonts w:hint="cs"/>
          <w:rtl/>
        </w:rPr>
        <w:t xml:space="preserve"> האם "בתר מעיקרא אזלינא" או "בתר תבר מנא אזלינא"</w:t>
      </w:r>
      <w:r w:rsidR="00E12240">
        <w:rPr>
          <w:rFonts w:hint="cs"/>
          <w:rtl/>
        </w:rPr>
        <w:t xml:space="preserve"> – האם הדין נקבע לפי ההתחלה או לפי </w:t>
      </w:r>
      <w:r w:rsidR="00834E22">
        <w:rPr>
          <w:rFonts w:hint="cs"/>
          <w:rtl/>
        </w:rPr>
        <w:t>מתי נשבר הכלי</w:t>
      </w:r>
      <w:r w:rsidR="00881292">
        <w:rPr>
          <w:rFonts w:hint="cs"/>
          <w:rtl/>
        </w:rPr>
        <w:t xml:space="preserve"> (לפי הסוף)</w:t>
      </w:r>
      <w:r w:rsidR="00E12240">
        <w:rPr>
          <w:rFonts w:hint="cs"/>
          <w:rtl/>
        </w:rPr>
        <w:t>.</w:t>
      </w:r>
    </w:p>
    <w:p w14:paraId="6B1D4285" w14:textId="10B7CC32" w:rsidR="005F66DC" w:rsidRDefault="005F66DC" w:rsidP="00232E8A">
      <w:pPr>
        <w:rPr>
          <w:rtl/>
        </w:rPr>
      </w:pPr>
      <w:r>
        <w:rPr>
          <w:rFonts w:hint="cs"/>
          <w:rtl/>
        </w:rPr>
        <w:t>רש"י אומר ש</w:t>
      </w:r>
      <w:r w:rsidR="00DB4382">
        <w:rPr>
          <w:rFonts w:hint="cs"/>
          <w:rtl/>
        </w:rPr>
        <w:t xml:space="preserve">חייב הזורק כי </w:t>
      </w:r>
      <w:r>
        <w:rPr>
          <w:rFonts w:hint="cs"/>
          <w:rtl/>
        </w:rPr>
        <w:t>בתר מעיקרא אזלינן</w:t>
      </w:r>
      <w:r w:rsidR="00834E22">
        <w:rPr>
          <w:rFonts w:hint="cs"/>
          <w:rtl/>
        </w:rPr>
        <w:t xml:space="preserve">, </w:t>
      </w:r>
      <w:r w:rsidR="00E81F37">
        <w:rPr>
          <w:rFonts w:hint="cs"/>
          <w:rtl/>
        </w:rPr>
        <w:t>בגלל שסופו להישבר אז הוא נחשב כמי ששברוֹ</w:t>
      </w:r>
      <w:r>
        <w:rPr>
          <w:rFonts w:hint="cs"/>
          <w:rtl/>
        </w:rPr>
        <w:t>.</w:t>
      </w:r>
    </w:p>
    <w:p w14:paraId="624E4C0C" w14:textId="3F634BAE" w:rsidR="005F66DC" w:rsidRDefault="005F66DC" w:rsidP="00232E8A">
      <w:pPr>
        <w:rPr>
          <w:rtl/>
        </w:rPr>
      </w:pPr>
      <w:r>
        <w:rPr>
          <w:rFonts w:hint="cs"/>
          <w:rtl/>
        </w:rPr>
        <w:t>הספק הוא האם הכלי נחשב כבר שבור מחמת שהוא עתיד להישבר אח"כ.</w:t>
      </w:r>
    </w:p>
    <w:p w14:paraId="5F5B2F92" w14:textId="6FD9D3C6" w:rsidR="005F66DC" w:rsidRDefault="005F66DC" w:rsidP="00232E8A">
      <w:pPr>
        <w:rPr>
          <w:rtl/>
        </w:rPr>
      </w:pPr>
      <w:r>
        <w:rPr>
          <w:rFonts w:hint="cs"/>
          <w:rtl/>
        </w:rPr>
        <w:lastRenderedPageBreak/>
        <w:t>תוס' שואל</w:t>
      </w:r>
      <w:r w:rsidR="0038668F">
        <w:rPr>
          <w:rStyle w:val="ab"/>
          <w:rtl/>
        </w:rPr>
        <w:footnoteReference w:id="14"/>
      </w:r>
      <w:r>
        <w:rPr>
          <w:rFonts w:hint="cs"/>
          <w:rtl/>
        </w:rPr>
        <w:t xml:space="preserve"> </w:t>
      </w:r>
      <w:r>
        <w:rPr>
          <w:rtl/>
        </w:rPr>
        <w:t>–</w:t>
      </w:r>
      <w:r>
        <w:rPr>
          <w:rFonts w:hint="cs"/>
          <w:rtl/>
        </w:rPr>
        <w:t xml:space="preserve"> לכאורה אפשר לדייק ממה שכתוב במשנה שדרסה על כלי ושברתו משלם נ"ש, משמע שאם נתגלגל למקום אחר ונשבר שם משלם ח"נ. אבל הוא אומר שאי אפשר לדייק מכך</w:t>
      </w:r>
      <w:r w:rsidR="0038668F">
        <w:rPr>
          <w:rFonts w:hint="cs"/>
          <w:rtl/>
        </w:rPr>
        <w:t>.</w:t>
      </w:r>
    </w:p>
    <w:p w14:paraId="3019FBB3" w14:textId="55390BA2" w:rsidR="0038668F" w:rsidRDefault="0038668F" w:rsidP="00232E8A">
      <w:pPr>
        <w:rPr>
          <w:rtl/>
        </w:rPr>
      </w:pPr>
      <w:r>
        <w:rPr>
          <w:rFonts w:hint="cs"/>
          <w:rtl/>
        </w:rPr>
        <w:t>תוס' מחלק</w:t>
      </w:r>
      <w:r w:rsidR="00A97413">
        <w:rPr>
          <w:rStyle w:val="ab"/>
          <w:rtl/>
        </w:rPr>
        <w:footnoteReference w:id="15"/>
      </w:r>
      <w:r>
        <w:rPr>
          <w:rFonts w:hint="cs"/>
          <w:rtl/>
        </w:rPr>
        <w:t xml:space="preserve"> בין זורק כלי ובא אחר ושברו, שהאחר פטור, לבין זורק אבן על כלי שאז האחר חייב.</w:t>
      </w:r>
      <w:r w:rsidR="000369B2">
        <w:rPr>
          <w:rFonts w:hint="cs"/>
          <w:rtl/>
        </w:rPr>
        <w:t xml:space="preserve"> שהרי כבר נעשה מעשה בכלי</w:t>
      </w:r>
      <w:r w:rsidR="00C127A1">
        <w:rPr>
          <w:rFonts w:hint="cs"/>
          <w:rtl/>
        </w:rPr>
        <w:t xml:space="preserve"> עצמו</w:t>
      </w:r>
      <w:r w:rsidR="000369B2">
        <w:rPr>
          <w:rFonts w:hint="cs"/>
          <w:rtl/>
        </w:rPr>
        <w:t>, לכן מנא תבירא</w:t>
      </w:r>
      <w:r w:rsidR="00170A87">
        <w:rPr>
          <w:rFonts w:hint="cs"/>
          <w:rtl/>
        </w:rPr>
        <w:t xml:space="preserve"> תבר</w:t>
      </w:r>
      <w:r w:rsidR="000369B2">
        <w:rPr>
          <w:rFonts w:hint="cs"/>
          <w:rtl/>
        </w:rPr>
        <w:t>.</w:t>
      </w:r>
    </w:p>
    <w:p w14:paraId="4263BBA9" w14:textId="62870B11" w:rsidR="000C115D" w:rsidRPr="003035B3" w:rsidRDefault="000C115D" w:rsidP="000C115D">
      <w:pPr>
        <w:rPr>
          <w:rFonts w:hint="cs"/>
          <w:rtl/>
        </w:rPr>
      </w:pPr>
      <w:r>
        <w:rPr>
          <w:rFonts w:hint="cs"/>
          <w:rtl/>
        </w:rPr>
        <w:t>ר' שמעון שקופ</w:t>
      </w:r>
      <w:r>
        <w:rPr>
          <w:rStyle w:val="ab"/>
          <w:rtl/>
        </w:rPr>
        <w:footnoteReference w:id="16"/>
      </w:r>
      <w:r>
        <w:rPr>
          <w:rFonts w:hint="cs"/>
          <w:rtl/>
        </w:rPr>
        <w:t xml:space="preserve"> אומר שכלי שעוד רגע הולך להישבר </w:t>
      </w:r>
      <w:r>
        <w:rPr>
          <w:rtl/>
        </w:rPr>
        <w:t>–</w:t>
      </w:r>
      <w:r>
        <w:rPr>
          <w:rFonts w:hint="cs"/>
          <w:rtl/>
        </w:rPr>
        <w:t xml:space="preserve"> הוא לא שווה כלום. לפי זה גם אם אדם זרק אבן על כלי ובא אחר ושברו אז האחר פטור, כי הכלי לא שווה כלום ברגע זה.</w:t>
      </w:r>
      <w:r w:rsidR="001A5D3C">
        <w:rPr>
          <w:rFonts w:hint="cs"/>
          <w:rtl/>
        </w:rPr>
        <w:t xml:space="preserve"> הוא מביא מקרה של אדם שנזרק מן הגג </w:t>
      </w:r>
      <w:r w:rsidR="001A5D3C">
        <w:rPr>
          <w:rtl/>
        </w:rPr>
        <w:t>–</w:t>
      </w:r>
      <w:r w:rsidR="001A5D3C">
        <w:rPr>
          <w:rFonts w:hint="cs"/>
          <w:rtl/>
        </w:rPr>
        <w:t xml:space="preserve"> באדם אין עניין של שווי </w:t>
      </w:r>
      <w:r w:rsidR="00297B2E">
        <w:rPr>
          <w:rFonts w:hint="cs"/>
          <w:rtl/>
        </w:rPr>
        <w:t>ו</w:t>
      </w:r>
      <w:r w:rsidR="001A5D3C">
        <w:rPr>
          <w:rFonts w:hint="cs"/>
          <w:rtl/>
        </w:rPr>
        <w:t>יש בו חיוּת בכל רגע עד שהוא מת</w:t>
      </w:r>
      <w:r w:rsidR="00297B2E">
        <w:rPr>
          <w:rFonts w:hint="cs"/>
          <w:rtl/>
        </w:rPr>
        <w:t xml:space="preserve">, לכן אם אדם הרג אותו רגע לפני שהיה אמור למות </w:t>
      </w:r>
      <w:r w:rsidR="00297B2E">
        <w:rPr>
          <w:rtl/>
        </w:rPr>
        <w:t>–</w:t>
      </w:r>
      <w:r w:rsidR="00297B2E">
        <w:rPr>
          <w:rFonts w:hint="cs"/>
          <w:rtl/>
        </w:rPr>
        <w:t xml:space="preserve"> יהיה חייב.</w:t>
      </w:r>
    </w:p>
    <w:sectPr w:rsidR="000C115D" w:rsidRPr="003035B3" w:rsidSect="00C461A6">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6A5462" w14:textId="77777777" w:rsidR="00F739BD" w:rsidRDefault="00F739BD" w:rsidP="00E23F28">
      <w:pPr>
        <w:spacing w:after="0"/>
      </w:pPr>
      <w:r>
        <w:separator/>
      </w:r>
    </w:p>
  </w:endnote>
  <w:endnote w:type="continuationSeparator" w:id="0">
    <w:p w14:paraId="6D04DF8B" w14:textId="77777777" w:rsidR="00F739BD" w:rsidRDefault="00F739BD" w:rsidP="00E23F2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dassah Friedlaender">
    <w:panose1 w:val="02020603050405020304"/>
    <w:charset w:val="00"/>
    <w:family w:val="roman"/>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Secular One">
    <w:panose1 w:val="00000500000000000000"/>
    <w:charset w:val="00"/>
    <w:family w:val="auto"/>
    <w:pitch w:val="variable"/>
    <w:sig w:usb0="00000807" w:usb1="40000000" w:usb2="00000000" w:usb3="00000000" w:csb0="000000B3" w:csb1="00000000"/>
  </w:font>
  <w:font w:name="Guttman Keren">
    <w:panose1 w:val="00000400000000000000"/>
    <w:charset w:val="B1"/>
    <w:family w:val="auto"/>
    <w:pitch w:val="variable"/>
    <w:sig w:usb0="00000801" w:usb1="40000000" w:usb2="00000000" w:usb3="00000000" w:csb0="00000020" w:csb1="00000000"/>
  </w:font>
  <w:font w:name="Heebo Medium">
    <w:panose1 w:val="00000600000000000000"/>
    <w:charset w:val="00"/>
    <w:family w:val="auto"/>
    <w:pitch w:val="variable"/>
    <w:sig w:usb0="00000803" w:usb1="40000001" w:usb2="00000000" w:usb3="00000000" w:csb0="0000002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uez One">
    <w:panose1 w:val="00000500000000000000"/>
    <w:charset w:val="00"/>
    <w:family w:val="auto"/>
    <w:pitch w:val="variable"/>
    <w:sig w:usb0="00000807" w:usb1="40000000" w:usb2="00000000" w:usb3="00000000" w:csb0="000000B3" w:csb1="00000000"/>
  </w:font>
  <w:font w:name="Shofar">
    <w:panose1 w:val="02000000000000000000"/>
    <w:charset w:val="00"/>
    <w:family w:val="auto"/>
    <w:pitch w:val="variable"/>
    <w:sig w:usb0="8000086F" w:usb1="4000204A" w:usb2="00000000" w:usb3="00000000" w:csb0="00000021" w:csb1="00000000"/>
  </w:font>
  <w:font w:name="Heebo">
    <w:panose1 w:val="00000500000000000000"/>
    <w:charset w:val="00"/>
    <w:family w:val="auto"/>
    <w:pitch w:val="variable"/>
    <w:sig w:usb0="00000803" w:usb1="40000001"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52945A" w14:textId="77777777" w:rsidR="00F739BD" w:rsidRDefault="00F739BD" w:rsidP="00E23F28">
      <w:pPr>
        <w:spacing w:after="0"/>
      </w:pPr>
      <w:r>
        <w:separator/>
      </w:r>
    </w:p>
  </w:footnote>
  <w:footnote w:type="continuationSeparator" w:id="0">
    <w:p w14:paraId="3F940255" w14:textId="77777777" w:rsidR="00F739BD" w:rsidRDefault="00F739BD" w:rsidP="00E23F28">
      <w:pPr>
        <w:spacing w:after="0"/>
      </w:pPr>
      <w:r>
        <w:continuationSeparator/>
      </w:r>
    </w:p>
  </w:footnote>
  <w:footnote w:id="1">
    <w:p w14:paraId="017844E8" w14:textId="5E825244" w:rsidR="004C3727" w:rsidRDefault="004C3727">
      <w:pPr>
        <w:pStyle w:val="a5"/>
        <w:rPr>
          <w:rFonts w:hint="cs"/>
          <w:rtl/>
        </w:rPr>
      </w:pPr>
      <w:r>
        <w:rPr>
          <w:rStyle w:val="ab"/>
        </w:rPr>
        <w:footnoteRef/>
      </w:r>
      <w:r>
        <w:rPr>
          <w:rtl/>
        </w:rPr>
        <w:t xml:space="preserve"> </w:t>
      </w:r>
      <w:r>
        <w:rPr>
          <w:rFonts w:hint="cs"/>
          <w:rtl/>
        </w:rPr>
        <w:t>ב"ק יז:</w:t>
      </w:r>
    </w:p>
  </w:footnote>
  <w:footnote w:id="2">
    <w:p w14:paraId="29A4FFCE" w14:textId="46179C3E" w:rsidR="003F64CF" w:rsidRDefault="003F64CF">
      <w:pPr>
        <w:pStyle w:val="a5"/>
        <w:rPr>
          <w:rFonts w:hint="cs"/>
        </w:rPr>
      </w:pPr>
      <w:r>
        <w:rPr>
          <w:rStyle w:val="ab"/>
        </w:rPr>
        <w:footnoteRef/>
      </w:r>
      <w:r>
        <w:rPr>
          <w:rtl/>
        </w:rPr>
        <w:t xml:space="preserve"> </w:t>
      </w:r>
      <w:r w:rsidR="00BB6BDD">
        <w:rPr>
          <w:rFonts w:hint="cs"/>
          <w:rtl/>
        </w:rPr>
        <w:t>רק לגבי בהמה</w:t>
      </w:r>
    </w:p>
  </w:footnote>
  <w:footnote w:id="3">
    <w:p w14:paraId="17EE6D59" w14:textId="2DF6841A" w:rsidR="004C3727" w:rsidRDefault="004C3727">
      <w:pPr>
        <w:pStyle w:val="a5"/>
        <w:rPr>
          <w:rFonts w:hint="cs"/>
        </w:rPr>
      </w:pPr>
      <w:r>
        <w:rPr>
          <w:rStyle w:val="ab"/>
        </w:rPr>
        <w:footnoteRef/>
      </w:r>
      <w:r>
        <w:rPr>
          <w:rtl/>
        </w:rPr>
        <w:t xml:space="preserve"> </w:t>
      </w:r>
      <w:r>
        <w:rPr>
          <w:rFonts w:hint="cs"/>
          <w:rtl/>
        </w:rPr>
        <w:t>מרומי שדה כאן ד"ה כל שבזב טמא</w:t>
      </w:r>
    </w:p>
  </w:footnote>
  <w:footnote w:id="4">
    <w:p w14:paraId="347E4415" w14:textId="36355B0B" w:rsidR="00A51BE1" w:rsidRDefault="00A51BE1">
      <w:pPr>
        <w:pStyle w:val="a5"/>
        <w:rPr>
          <w:rFonts w:hint="cs"/>
        </w:rPr>
      </w:pPr>
      <w:r>
        <w:rPr>
          <w:rStyle w:val="ab"/>
        </w:rPr>
        <w:footnoteRef/>
      </w:r>
      <w:r>
        <w:rPr>
          <w:rtl/>
        </w:rPr>
        <w:t xml:space="preserve"> </w:t>
      </w:r>
      <w:r>
        <w:rPr>
          <w:rFonts w:hint="cs"/>
          <w:rtl/>
        </w:rPr>
        <w:t>ד"ה כל שבזב</w:t>
      </w:r>
    </w:p>
  </w:footnote>
  <w:footnote w:id="5">
    <w:p w14:paraId="19666FCF" w14:textId="7005CD1C" w:rsidR="00617A99" w:rsidRDefault="00617A99">
      <w:pPr>
        <w:pStyle w:val="a5"/>
        <w:rPr>
          <w:rFonts w:hint="cs"/>
        </w:rPr>
      </w:pPr>
      <w:r>
        <w:rPr>
          <w:rStyle w:val="ab"/>
        </w:rPr>
        <w:footnoteRef/>
      </w:r>
      <w:r>
        <w:rPr>
          <w:rtl/>
        </w:rPr>
        <w:t xml:space="preserve"> </w:t>
      </w:r>
      <w:r>
        <w:rPr>
          <w:rFonts w:hint="cs"/>
          <w:rtl/>
        </w:rPr>
        <w:t>המקרה במשנה בדף יז.</w:t>
      </w:r>
    </w:p>
  </w:footnote>
  <w:footnote w:id="6">
    <w:p w14:paraId="40CEA9B2" w14:textId="59666D54" w:rsidR="00B11E55" w:rsidRDefault="00B11E55">
      <w:pPr>
        <w:pStyle w:val="a5"/>
        <w:rPr>
          <w:rFonts w:hint="cs"/>
          <w:rtl/>
        </w:rPr>
      </w:pPr>
      <w:r>
        <w:rPr>
          <w:rStyle w:val="ab"/>
        </w:rPr>
        <w:footnoteRef/>
      </w:r>
      <w:r>
        <w:rPr>
          <w:rtl/>
        </w:rPr>
        <w:t xml:space="preserve"> </w:t>
      </w:r>
      <w:r>
        <w:rPr>
          <w:rFonts w:hint="cs"/>
          <w:rtl/>
        </w:rPr>
        <w:t>ד"ה כל שבזב</w:t>
      </w:r>
    </w:p>
  </w:footnote>
  <w:footnote w:id="7">
    <w:p w14:paraId="7C6957A2" w14:textId="5074B9CE" w:rsidR="006D6D12" w:rsidRDefault="006D6D12">
      <w:pPr>
        <w:pStyle w:val="a5"/>
        <w:rPr>
          <w:rFonts w:hint="cs"/>
        </w:rPr>
      </w:pPr>
      <w:r>
        <w:rPr>
          <w:rStyle w:val="ab"/>
        </w:rPr>
        <w:footnoteRef/>
      </w:r>
      <w:r>
        <w:rPr>
          <w:rtl/>
        </w:rPr>
        <w:t xml:space="preserve"> </w:t>
      </w:r>
      <w:r>
        <w:rPr>
          <w:rFonts w:hint="cs"/>
          <w:rtl/>
        </w:rPr>
        <w:t>בבית השחי שלו</w:t>
      </w:r>
    </w:p>
  </w:footnote>
  <w:footnote w:id="8">
    <w:p w14:paraId="5ED6A2F8" w14:textId="114B1783" w:rsidR="00B11E55" w:rsidRDefault="00B11E55">
      <w:pPr>
        <w:pStyle w:val="a5"/>
        <w:rPr>
          <w:rFonts w:hint="cs"/>
        </w:rPr>
      </w:pPr>
      <w:r>
        <w:rPr>
          <w:rStyle w:val="ab"/>
        </w:rPr>
        <w:footnoteRef/>
      </w:r>
      <w:r>
        <w:rPr>
          <w:rtl/>
        </w:rPr>
        <w:t xml:space="preserve"> </w:t>
      </w:r>
      <w:r>
        <w:rPr>
          <w:rFonts w:hint="cs"/>
          <w:rtl/>
        </w:rPr>
        <w:t>ד"ה הא דאמר רבא</w:t>
      </w:r>
    </w:p>
  </w:footnote>
  <w:footnote w:id="9">
    <w:p w14:paraId="15E00559" w14:textId="576D637D" w:rsidR="0052530A" w:rsidRDefault="0052530A">
      <w:pPr>
        <w:pStyle w:val="a5"/>
        <w:rPr>
          <w:rFonts w:hint="cs"/>
        </w:rPr>
      </w:pPr>
      <w:r>
        <w:rPr>
          <w:rStyle w:val="ab"/>
        </w:rPr>
        <w:footnoteRef/>
      </w:r>
      <w:r>
        <w:rPr>
          <w:rtl/>
        </w:rPr>
        <w:t xml:space="preserve"> </w:t>
      </w:r>
      <w:r>
        <w:rPr>
          <w:rFonts w:hint="cs"/>
          <w:rtl/>
        </w:rPr>
        <w:t>ד"ה יש קורין</w:t>
      </w:r>
    </w:p>
  </w:footnote>
  <w:footnote w:id="10">
    <w:p w14:paraId="7498B1C9" w14:textId="35657660" w:rsidR="007C4D00" w:rsidRDefault="007C4D00">
      <w:pPr>
        <w:pStyle w:val="a5"/>
        <w:rPr>
          <w:rFonts w:hint="cs"/>
          <w:rtl/>
        </w:rPr>
      </w:pPr>
      <w:r>
        <w:rPr>
          <w:rStyle w:val="ab"/>
        </w:rPr>
        <w:footnoteRef/>
      </w:r>
      <w:r>
        <w:rPr>
          <w:rtl/>
        </w:rPr>
        <w:t xml:space="preserve"> </w:t>
      </w:r>
      <w:r>
        <w:rPr>
          <w:rFonts w:hint="cs"/>
          <w:rtl/>
        </w:rPr>
        <w:t>ד"ה ופרקי' לא עגלה מושכת</w:t>
      </w:r>
    </w:p>
  </w:footnote>
  <w:footnote w:id="11">
    <w:p w14:paraId="19C9A97A" w14:textId="5356590D" w:rsidR="00D44F4E" w:rsidRDefault="00D44F4E">
      <w:pPr>
        <w:pStyle w:val="a5"/>
        <w:rPr>
          <w:rFonts w:hint="cs"/>
          <w:rtl/>
        </w:rPr>
      </w:pPr>
      <w:r>
        <w:rPr>
          <w:rStyle w:val="ab"/>
        </w:rPr>
        <w:footnoteRef/>
      </w:r>
      <w:r>
        <w:rPr>
          <w:rtl/>
        </w:rPr>
        <w:t xml:space="preserve"> </w:t>
      </w:r>
      <w:r>
        <w:rPr>
          <w:rFonts w:hint="cs"/>
          <w:rtl/>
        </w:rPr>
        <w:t>ד"ה ירושלמי</w:t>
      </w:r>
    </w:p>
  </w:footnote>
  <w:footnote w:id="12">
    <w:p w14:paraId="36097178" w14:textId="6BA29DEA" w:rsidR="00D44F4E" w:rsidRDefault="00D44F4E">
      <w:pPr>
        <w:pStyle w:val="a5"/>
        <w:rPr>
          <w:rFonts w:hint="cs"/>
        </w:rPr>
      </w:pPr>
      <w:r>
        <w:rPr>
          <w:rStyle w:val="ab"/>
        </w:rPr>
        <w:footnoteRef/>
      </w:r>
      <w:r>
        <w:rPr>
          <w:rtl/>
        </w:rPr>
        <w:t xml:space="preserve"> </w:t>
      </w:r>
      <w:r>
        <w:rPr>
          <w:rFonts w:hint="cs"/>
          <w:rtl/>
        </w:rPr>
        <w:t>פ"ב שלהי ה"א</w:t>
      </w:r>
    </w:p>
  </w:footnote>
  <w:footnote w:id="13">
    <w:p w14:paraId="1EBE0ABB" w14:textId="074CB32D" w:rsidR="00F31ED7" w:rsidRDefault="00F31ED7">
      <w:pPr>
        <w:pStyle w:val="a5"/>
        <w:rPr>
          <w:rFonts w:hint="cs"/>
        </w:rPr>
      </w:pPr>
      <w:r>
        <w:rPr>
          <w:rStyle w:val="ab"/>
        </w:rPr>
        <w:footnoteRef/>
      </w:r>
      <w:r>
        <w:rPr>
          <w:rtl/>
        </w:rPr>
        <w:t xml:space="preserve"> </w:t>
      </w:r>
      <w:r>
        <w:rPr>
          <w:rFonts w:hint="cs"/>
          <w:rtl/>
        </w:rPr>
        <w:t>מרומי שדה ד"ה ותדע</w:t>
      </w:r>
    </w:p>
  </w:footnote>
  <w:footnote w:id="14">
    <w:p w14:paraId="129E334A" w14:textId="66957D50" w:rsidR="0038668F" w:rsidRDefault="0038668F">
      <w:pPr>
        <w:pStyle w:val="a5"/>
        <w:rPr>
          <w:rFonts w:hint="cs"/>
        </w:rPr>
      </w:pPr>
      <w:r>
        <w:rPr>
          <w:rStyle w:val="ab"/>
        </w:rPr>
        <w:footnoteRef/>
      </w:r>
      <w:r>
        <w:rPr>
          <w:rtl/>
        </w:rPr>
        <w:t xml:space="preserve"> </w:t>
      </w:r>
      <w:r>
        <w:rPr>
          <w:rFonts w:hint="cs"/>
          <w:rtl/>
        </w:rPr>
        <w:t>ד"ה בתר מעיקרא</w:t>
      </w:r>
    </w:p>
  </w:footnote>
  <w:footnote w:id="15">
    <w:p w14:paraId="08802C48" w14:textId="44352CC5" w:rsidR="00A97413" w:rsidRDefault="00A97413">
      <w:pPr>
        <w:pStyle w:val="a5"/>
        <w:rPr>
          <w:rFonts w:hint="cs"/>
        </w:rPr>
      </w:pPr>
      <w:r>
        <w:rPr>
          <w:rStyle w:val="ab"/>
        </w:rPr>
        <w:footnoteRef/>
      </w:r>
      <w:r>
        <w:rPr>
          <w:rtl/>
        </w:rPr>
        <w:t xml:space="preserve"> </w:t>
      </w:r>
      <w:r>
        <w:rPr>
          <w:rFonts w:hint="cs"/>
          <w:rtl/>
        </w:rPr>
        <w:t>ד"ה זרק כלי</w:t>
      </w:r>
    </w:p>
  </w:footnote>
  <w:footnote w:id="16">
    <w:p w14:paraId="6E9D4518" w14:textId="076F97BC" w:rsidR="000C115D" w:rsidRDefault="000C115D">
      <w:pPr>
        <w:pStyle w:val="a5"/>
        <w:rPr>
          <w:rFonts w:hint="cs"/>
        </w:rPr>
      </w:pPr>
      <w:r>
        <w:rPr>
          <w:rStyle w:val="ab"/>
        </w:rPr>
        <w:footnoteRef/>
      </w:r>
      <w:r>
        <w:rPr>
          <w:rtl/>
        </w:rPr>
        <w:t xml:space="preserve"> </w:t>
      </w:r>
      <w:r>
        <w:rPr>
          <w:rFonts w:hint="cs"/>
          <w:rtl/>
        </w:rPr>
        <w:t>ב"ק סי' כ"ד אות א'</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6791A9" w14:textId="3244CB66" w:rsidR="00E23F28" w:rsidRDefault="00E23F28">
    <w:pPr>
      <w:pStyle w:val="a7"/>
    </w:pPr>
    <w:r>
      <w:rPr>
        <w:rFonts w:hint="cs"/>
        <w:rtl/>
      </w:rPr>
      <w:t>בס"ד</w:t>
    </w:r>
    <w:r>
      <w:rPr>
        <w:rtl/>
      </w:rPr>
      <w:ptab w:relativeTo="margin" w:alignment="right" w:leader="none"/>
    </w:r>
    <w:r>
      <w:rPr>
        <w:rtl/>
      </w:rPr>
      <w:fldChar w:fldCharType="begin"/>
    </w:r>
    <w:r>
      <w:rPr>
        <w:rtl/>
      </w:rPr>
      <w:instrText xml:space="preserve"> </w:instrText>
    </w:r>
    <w:r>
      <w:rPr>
        <w:rFonts w:hint="cs"/>
      </w:rPr>
      <w:instrText>DATE</w:instrText>
    </w:r>
    <w:r>
      <w:rPr>
        <w:rFonts w:hint="cs"/>
        <w:rtl/>
      </w:rPr>
      <w:instrText xml:space="preserve"> \@ "</w:instrText>
    </w:r>
    <w:r>
      <w:rPr>
        <w:rFonts w:hint="cs"/>
      </w:rPr>
      <w:instrText>dd MMMM yyyy" \h</w:instrText>
    </w:r>
    <w:r>
      <w:rPr>
        <w:rtl/>
      </w:rPr>
      <w:instrText xml:space="preserve"> </w:instrText>
    </w:r>
    <w:r>
      <w:rPr>
        <w:rtl/>
      </w:rPr>
      <w:fldChar w:fldCharType="separate"/>
    </w:r>
    <w:r w:rsidR="003035B3">
      <w:rPr>
        <w:rFonts w:ascii="Times New Roman" w:hAnsi="Times New Roman" w:cs="Times New Roman" w:hint="cs"/>
        <w:noProof/>
        <w:rtl/>
      </w:rPr>
      <w:t>‏</w:t>
    </w:r>
    <w:r w:rsidR="003035B3">
      <w:rPr>
        <w:rFonts w:hint="cs"/>
        <w:noProof/>
        <w:rtl/>
      </w:rPr>
      <w:t>י</w:t>
    </w:r>
    <w:r w:rsidR="003035B3">
      <w:rPr>
        <w:noProof/>
        <w:rtl/>
      </w:rPr>
      <w:t>"</w:t>
    </w:r>
    <w:r w:rsidR="003035B3">
      <w:rPr>
        <w:rFonts w:hint="cs"/>
        <w:noProof/>
        <w:rtl/>
      </w:rPr>
      <w:t>ב</w:t>
    </w:r>
    <w:r w:rsidR="003035B3">
      <w:rPr>
        <w:noProof/>
        <w:rtl/>
      </w:rPr>
      <w:t xml:space="preserve"> </w:t>
    </w:r>
    <w:r w:rsidR="003035B3">
      <w:rPr>
        <w:rFonts w:hint="cs"/>
        <w:noProof/>
        <w:rtl/>
      </w:rPr>
      <w:t>אדר</w:t>
    </w:r>
    <w:r w:rsidR="003035B3">
      <w:rPr>
        <w:noProof/>
        <w:rtl/>
      </w:rPr>
      <w:t xml:space="preserve"> </w:t>
    </w:r>
    <w:r w:rsidR="003035B3">
      <w:rPr>
        <w:rFonts w:hint="cs"/>
        <w:noProof/>
        <w:rtl/>
      </w:rPr>
      <w:t>ב</w:t>
    </w:r>
    <w:r w:rsidR="003035B3">
      <w:rPr>
        <w:noProof/>
        <w:rtl/>
      </w:rPr>
      <w:t xml:space="preserve"> </w:t>
    </w:r>
    <w:r w:rsidR="003035B3">
      <w:rPr>
        <w:rFonts w:hint="cs"/>
        <w:noProof/>
        <w:rtl/>
      </w:rPr>
      <w:t>תשפ</w:t>
    </w:r>
    <w:r w:rsidR="003035B3">
      <w:rPr>
        <w:noProof/>
        <w:rtl/>
      </w:rPr>
      <w:t>"</w:t>
    </w:r>
    <w:r w:rsidR="003035B3">
      <w:rPr>
        <w:rFonts w:hint="cs"/>
        <w:noProof/>
        <w:rtl/>
      </w:rPr>
      <w:t>ב</w:t>
    </w:r>
    <w:r>
      <w:rPr>
        <w:rtl/>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F28"/>
    <w:rsid w:val="00020942"/>
    <w:rsid w:val="000369B2"/>
    <w:rsid w:val="000522AB"/>
    <w:rsid w:val="000A04B4"/>
    <w:rsid w:val="000C115D"/>
    <w:rsid w:val="00147567"/>
    <w:rsid w:val="00170A87"/>
    <w:rsid w:val="001A5D3C"/>
    <w:rsid w:val="001D2A42"/>
    <w:rsid w:val="001F3942"/>
    <w:rsid w:val="00232E8A"/>
    <w:rsid w:val="00264875"/>
    <w:rsid w:val="00297B2E"/>
    <w:rsid w:val="002E0E02"/>
    <w:rsid w:val="003035B3"/>
    <w:rsid w:val="00345EB8"/>
    <w:rsid w:val="00370659"/>
    <w:rsid w:val="003825BB"/>
    <w:rsid w:val="0038668F"/>
    <w:rsid w:val="003F64CF"/>
    <w:rsid w:val="004C3727"/>
    <w:rsid w:val="0052530A"/>
    <w:rsid w:val="00574998"/>
    <w:rsid w:val="00583C7C"/>
    <w:rsid w:val="005B311A"/>
    <w:rsid w:val="005F66DC"/>
    <w:rsid w:val="006140F2"/>
    <w:rsid w:val="00617A99"/>
    <w:rsid w:val="00625444"/>
    <w:rsid w:val="00636A4D"/>
    <w:rsid w:val="006856EA"/>
    <w:rsid w:val="00696165"/>
    <w:rsid w:val="006D6D12"/>
    <w:rsid w:val="006E533C"/>
    <w:rsid w:val="006F31E6"/>
    <w:rsid w:val="006F47F3"/>
    <w:rsid w:val="00734E01"/>
    <w:rsid w:val="007C4D00"/>
    <w:rsid w:val="007D139F"/>
    <w:rsid w:val="007F6DAF"/>
    <w:rsid w:val="00834E22"/>
    <w:rsid w:val="00881292"/>
    <w:rsid w:val="00883CEC"/>
    <w:rsid w:val="0092125F"/>
    <w:rsid w:val="009404E0"/>
    <w:rsid w:val="00971C95"/>
    <w:rsid w:val="00982A8E"/>
    <w:rsid w:val="009E3F02"/>
    <w:rsid w:val="00A36CAC"/>
    <w:rsid w:val="00A51BE1"/>
    <w:rsid w:val="00A71461"/>
    <w:rsid w:val="00A97413"/>
    <w:rsid w:val="00AA3574"/>
    <w:rsid w:val="00B11E55"/>
    <w:rsid w:val="00B3202C"/>
    <w:rsid w:val="00B338DF"/>
    <w:rsid w:val="00B64288"/>
    <w:rsid w:val="00BB6BDD"/>
    <w:rsid w:val="00BD5539"/>
    <w:rsid w:val="00BF4ED6"/>
    <w:rsid w:val="00BF7C82"/>
    <w:rsid w:val="00C127A1"/>
    <w:rsid w:val="00C461A6"/>
    <w:rsid w:val="00C845B7"/>
    <w:rsid w:val="00C96E24"/>
    <w:rsid w:val="00D44F4E"/>
    <w:rsid w:val="00D71444"/>
    <w:rsid w:val="00D84090"/>
    <w:rsid w:val="00DB4382"/>
    <w:rsid w:val="00DE251B"/>
    <w:rsid w:val="00E12240"/>
    <w:rsid w:val="00E23F28"/>
    <w:rsid w:val="00E65458"/>
    <w:rsid w:val="00E81F37"/>
    <w:rsid w:val="00E94380"/>
    <w:rsid w:val="00F01DF3"/>
    <w:rsid w:val="00F31ED7"/>
    <w:rsid w:val="00F739BD"/>
    <w:rsid w:val="00FC7F1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7C61A"/>
  <w15:chartTrackingRefBased/>
  <w15:docId w15:val="{758D68E4-033A-41DC-8211-577683C68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dassah Friedlaender" w:eastAsiaTheme="minorHAnsi" w:hAnsi="Hadassah Friedlaender" w:cs="Hadassah Friedlaender"/>
        <w:sz w:val="22"/>
        <w:szCs w:val="22"/>
        <w:lang w:val="en-US" w:eastAsia="en-US" w:bidi="he-IL"/>
      </w:rPr>
    </w:rPrDefault>
    <w:pPrDefault>
      <w:pPr>
        <w:bidi/>
        <w:spacing w:after="8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8"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2"/>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3202C"/>
  </w:style>
  <w:style w:type="paragraph" w:styleId="1">
    <w:name w:val="heading 1"/>
    <w:basedOn w:val="a"/>
    <w:next w:val="a"/>
    <w:link w:val="10"/>
    <w:uiPriority w:val="9"/>
    <w:qFormat/>
    <w:rsid w:val="00DE251B"/>
    <w:pPr>
      <w:outlineLvl w:val="0"/>
    </w:pPr>
    <w:rPr>
      <w:rFonts w:ascii="Secular One" w:hAnsi="Secular One" w:cs="Guttman Keren"/>
      <w:sz w:val="44"/>
      <w:szCs w:val="44"/>
    </w:rPr>
  </w:style>
  <w:style w:type="paragraph" w:styleId="2">
    <w:name w:val="heading 2"/>
    <w:basedOn w:val="a"/>
    <w:next w:val="a"/>
    <w:link w:val="20"/>
    <w:uiPriority w:val="9"/>
    <w:qFormat/>
    <w:rsid w:val="00B3202C"/>
    <w:pPr>
      <w:outlineLvl w:val="1"/>
    </w:pPr>
    <w:rPr>
      <w:rFonts w:ascii="Heebo Medium" w:hAnsi="Heebo Medium" w:cstheme="minorBidi"/>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8"/>
    <w:qFormat/>
    <w:rsid w:val="00B3202C"/>
    <w:pPr>
      <w:jc w:val="center"/>
    </w:pPr>
    <w:rPr>
      <w:rFonts w:ascii="Suez One" w:hAnsi="Suez One" w:cs="Suez One"/>
      <w:sz w:val="72"/>
      <w:szCs w:val="72"/>
    </w:rPr>
  </w:style>
  <w:style w:type="character" w:customStyle="1" w:styleId="a4">
    <w:name w:val="כותרת טקסט תו"/>
    <w:basedOn w:val="a0"/>
    <w:link w:val="a3"/>
    <w:uiPriority w:val="8"/>
    <w:rsid w:val="00B3202C"/>
    <w:rPr>
      <w:rFonts w:ascii="Suez One" w:hAnsi="Suez One" w:cs="Suez One"/>
      <w:sz w:val="72"/>
      <w:szCs w:val="72"/>
    </w:rPr>
  </w:style>
  <w:style w:type="character" w:customStyle="1" w:styleId="10">
    <w:name w:val="כותרת 1 תו"/>
    <w:basedOn w:val="a0"/>
    <w:link w:val="1"/>
    <w:uiPriority w:val="9"/>
    <w:rsid w:val="00DE251B"/>
    <w:rPr>
      <w:rFonts w:ascii="Secular One" w:hAnsi="Secular One" w:cs="Guttman Keren"/>
      <w:sz w:val="44"/>
      <w:szCs w:val="44"/>
    </w:rPr>
  </w:style>
  <w:style w:type="character" w:customStyle="1" w:styleId="20">
    <w:name w:val="כותרת 2 תו"/>
    <w:basedOn w:val="a0"/>
    <w:link w:val="2"/>
    <w:uiPriority w:val="9"/>
    <w:rsid w:val="00B3202C"/>
    <w:rPr>
      <w:rFonts w:ascii="Heebo Medium" w:hAnsi="Heebo Medium" w:cstheme="minorBidi"/>
      <w:sz w:val="26"/>
      <w:szCs w:val="26"/>
    </w:rPr>
  </w:style>
  <w:style w:type="paragraph" w:styleId="a5">
    <w:name w:val="footnote text"/>
    <w:basedOn w:val="a"/>
    <w:link w:val="a6"/>
    <w:autoRedefine/>
    <w:uiPriority w:val="99"/>
    <w:unhideWhenUsed/>
    <w:rsid w:val="00264875"/>
    <w:rPr>
      <w:sz w:val="20"/>
      <w:szCs w:val="20"/>
    </w:rPr>
  </w:style>
  <w:style w:type="character" w:customStyle="1" w:styleId="a6">
    <w:name w:val="טקסט הערת שוליים תו"/>
    <w:basedOn w:val="a0"/>
    <w:link w:val="a5"/>
    <w:uiPriority w:val="99"/>
    <w:rsid w:val="00264875"/>
    <w:rPr>
      <w:sz w:val="20"/>
      <w:szCs w:val="20"/>
    </w:rPr>
  </w:style>
  <w:style w:type="paragraph" w:styleId="a7">
    <w:name w:val="header"/>
    <w:basedOn w:val="a"/>
    <w:link w:val="a8"/>
    <w:uiPriority w:val="99"/>
    <w:unhideWhenUsed/>
    <w:rsid w:val="00B3202C"/>
  </w:style>
  <w:style w:type="character" w:customStyle="1" w:styleId="a8">
    <w:name w:val="כותרת עליונה תו"/>
    <w:basedOn w:val="a0"/>
    <w:link w:val="a7"/>
    <w:uiPriority w:val="99"/>
    <w:rsid w:val="00B3202C"/>
  </w:style>
  <w:style w:type="paragraph" w:styleId="a9">
    <w:name w:val="footer"/>
    <w:basedOn w:val="a7"/>
    <w:link w:val="aa"/>
    <w:uiPriority w:val="99"/>
    <w:unhideWhenUsed/>
    <w:rsid w:val="00B3202C"/>
  </w:style>
  <w:style w:type="character" w:customStyle="1" w:styleId="aa">
    <w:name w:val="כותרת תחתונה תו"/>
    <w:basedOn w:val="a0"/>
    <w:link w:val="a9"/>
    <w:uiPriority w:val="99"/>
    <w:rsid w:val="00B3202C"/>
  </w:style>
  <w:style w:type="character" w:styleId="ab">
    <w:name w:val="footnote reference"/>
    <w:basedOn w:val="a0"/>
    <w:uiPriority w:val="99"/>
    <w:semiHidden/>
    <w:unhideWhenUsed/>
    <w:rsid w:val="00B3202C"/>
    <w:rPr>
      <w:vertAlign w:val="superscript"/>
    </w:rPr>
  </w:style>
  <w:style w:type="character" w:styleId="ac">
    <w:name w:val="Strong"/>
    <w:aliases w:val="ציטוט."/>
    <w:uiPriority w:val="10"/>
    <w:qFormat/>
    <w:rsid w:val="00B3202C"/>
    <w:rPr>
      <w:rFonts w:ascii="Shofar" w:hAnsi="Shofar" w:cs="Guttman Keren"/>
    </w:rPr>
  </w:style>
  <w:style w:type="paragraph" w:styleId="ad">
    <w:name w:val="No Spacing"/>
    <w:uiPriority w:val="11"/>
    <w:rsid w:val="00B3202C"/>
    <w:pPr>
      <w:tabs>
        <w:tab w:val="center" w:pos="4153"/>
        <w:tab w:val="right" w:pos="8306"/>
      </w:tabs>
      <w:spacing w:after="0"/>
    </w:pPr>
    <w:rPr>
      <w:rFonts w:ascii="Heebo" w:hAnsi="Heebo"/>
    </w:rPr>
  </w:style>
  <w:style w:type="character" w:styleId="ae">
    <w:name w:val="Subtle Emphasis"/>
    <w:basedOn w:val="a0"/>
    <w:uiPriority w:val="19"/>
    <w:rsid w:val="00B3202C"/>
    <w:rPr>
      <w:i/>
      <w:iCs/>
      <w:color w:val="404040" w:themeColor="text1" w:themeTint="BF"/>
    </w:rPr>
  </w:style>
  <w:style w:type="paragraph" w:styleId="af">
    <w:name w:val="Quote"/>
    <w:basedOn w:val="a"/>
    <w:next w:val="a"/>
    <w:link w:val="af0"/>
    <w:autoRedefine/>
    <w:uiPriority w:val="29"/>
    <w:qFormat/>
    <w:rsid w:val="00B3202C"/>
    <w:pPr>
      <w:spacing w:before="200" w:after="160"/>
      <w:ind w:left="864" w:right="864"/>
      <w:jc w:val="center"/>
    </w:pPr>
    <w:rPr>
      <w:i/>
      <w:iCs/>
      <w:color w:val="404040" w:themeColor="text1" w:themeTint="BF"/>
    </w:rPr>
  </w:style>
  <w:style w:type="character" w:customStyle="1" w:styleId="af0">
    <w:name w:val="ציטוט תו"/>
    <w:basedOn w:val="a0"/>
    <w:link w:val="af"/>
    <w:uiPriority w:val="29"/>
    <w:rsid w:val="00B3202C"/>
    <w:rPr>
      <w:i/>
      <w:iCs/>
      <w:color w:val="404040" w:themeColor="text1" w:themeTint="BF"/>
    </w:rPr>
  </w:style>
  <w:style w:type="character" w:customStyle="1" w:styleId="af1">
    <w:name w:val="מודגש"/>
    <w:basedOn w:val="a0"/>
    <w:uiPriority w:val="1"/>
    <w:rsid w:val="006140F2"/>
    <w:rPr>
      <w:rFonts w:cs="Heebo Medium"/>
      <w:bCs w:val="0"/>
    </w:rPr>
  </w:style>
  <w:style w:type="paragraph" w:customStyle="1" w:styleId="af2">
    <w:name w:val="הערת שוליים"/>
    <w:basedOn w:val="a"/>
    <w:link w:val="af3"/>
    <w:qFormat/>
    <w:rsid w:val="00B3202C"/>
    <w:rPr>
      <w:szCs w:val="20"/>
    </w:rPr>
  </w:style>
  <w:style w:type="character" w:customStyle="1" w:styleId="af3">
    <w:name w:val="הערת שוליים תו"/>
    <w:basedOn w:val="a0"/>
    <w:link w:val="af2"/>
    <w:rsid w:val="00B3202C"/>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434</Words>
  <Characters>2171</Characters>
  <Application>Microsoft Office Word</Application>
  <DocSecurity>0</DocSecurity>
  <Lines>18</Lines>
  <Paragraphs>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נתאי קסנר</dc:creator>
  <cp:keywords/>
  <dc:description/>
  <cp:lastModifiedBy>נתאי קסנר</cp:lastModifiedBy>
  <cp:revision>62</cp:revision>
  <dcterms:created xsi:type="dcterms:W3CDTF">2022-03-15T10:07:00Z</dcterms:created>
  <dcterms:modified xsi:type="dcterms:W3CDTF">2022-03-15T11:02:00Z</dcterms:modified>
</cp:coreProperties>
</file>