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92AD" w14:textId="58413CD0" w:rsidR="00A71461" w:rsidRDefault="00636120" w:rsidP="00636120">
      <w:pPr>
        <w:pStyle w:val="1"/>
        <w:rPr>
          <w:rtl/>
        </w:rPr>
      </w:pPr>
      <w:r>
        <w:rPr>
          <w:rFonts w:hint="cs"/>
          <w:rtl/>
        </w:rPr>
        <w:t xml:space="preserve">שיעור 21 </w:t>
      </w:r>
      <w:r>
        <w:rPr>
          <w:rtl/>
        </w:rPr>
        <w:t>–</w:t>
      </w:r>
      <w:r>
        <w:rPr>
          <w:rFonts w:hint="cs"/>
          <w:rtl/>
        </w:rPr>
        <w:t xml:space="preserve"> </w:t>
      </w:r>
      <w:r w:rsidR="00B92812">
        <w:rPr>
          <w:rFonts w:hint="cs"/>
          <w:rtl/>
        </w:rPr>
        <w:t>ה</w:t>
      </w:r>
      <w:r>
        <w:rPr>
          <w:rFonts w:hint="cs"/>
          <w:rtl/>
        </w:rPr>
        <w:t>עולם הבא בכוזרי</w:t>
      </w:r>
    </w:p>
    <w:p w14:paraId="4E9AA2B5" w14:textId="65BC1217" w:rsidR="00D637FA" w:rsidRDefault="00636120" w:rsidP="00D637FA">
      <w:pPr>
        <w:rPr>
          <w:rtl/>
        </w:rPr>
      </w:pPr>
      <w:r>
        <w:rPr>
          <w:rFonts w:hint="cs"/>
          <w:rtl/>
        </w:rPr>
        <w:t>הכוזרי בפסקה ק"ד שואל: והלא ייעודי הדתות האחרות עשירים יותר? אצל האסלאם יש הבטחות מלהיבות לגבי העולם הבא</w:t>
      </w:r>
      <w:r w:rsidR="00D637FA">
        <w:rPr>
          <w:rFonts w:hint="cs"/>
          <w:rtl/>
        </w:rPr>
        <w:t xml:space="preserve"> וכד'..</w:t>
      </w:r>
    </w:p>
    <w:p w14:paraId="2C584D4E" w14:textId="68D6A58D" w:rsidR="00D637FA" w:rsidRDefault="00D637FA" w:rsidP="00D637FA">
      <w:pPr>
        <w:rPr>
          <w:rtl/>
        </w:rPr>
      </w:pPr>
      <w:r>
        <w:rPr>
          <w:rFonts w:hint="cs"/>
          <w:rtl/>
        </w:rPr>
        <w:t>החבר: הייעודים של הדתות האחרות הם כולם אחרי המוות ואין שום דבר שמוכיח אותם. הנושא אינו החיבור והדבקות לעולם הנשמות, אלא הדבקות בקב"ה בעולם הזה.</w:t>
      </w:r>
    </w:p>
    <w:p w14:paraId="453AD1F8" w14:textId="2D1146B4" w:rsidR="00450697" w:rsidRDefault="00450697" w:rsidP="008E6CD2">
      <w:pPr>
        <w:rPr>
          <w:rtl/>
        </w:rPr>
      </w:pPr>
      <w:r>
        <w:rPr>
          <w:rFonts w:hint="cs"/>
          <w:rtl/>
        </w:rPr>
        <w:t>לפי ההבנה הראשונית יש לומר שהמטרה שלנו בעולם היא דבקות</w:t>
      </w:r>
      <w:r w:rsidR="0002509C">
        <w:rPr>
          <w:rFonts w:hint="cs"/>
          <w:rtl/>
        </w:rPr>
        <w:t>, ואין צורך לדבר על העולם הבא</w:t>
      </w:r>
      <w:r>
        <w:rPr>
          <w:rFonts w:hint="cs"/>
          <w:rtl/>
        </w:rPr>
        <w:t>.</w:t>
      </w:r>
    </w:p>
    <w:p w14:paraId="2042663B" w14:textId="6E4EA65D" w:rsidR="008E6CD2" w:rsidRDefault="00450697" w:rsidP="008E6CD2">
      <w:pPr>
        <w:rPr>
          <w:rtl/>
        </w:rPr>
      </w:pPr>
      <w:r>
        <w:rPr>
          <w:rFonts w:hint="cs"/>
          <w:rtl/>
        </w:rPr>
        <w:t>בפסקה ק"ט</w:t>
      </w:r>
      <w:r w:rsidR="00940EC1">
        <w:rPr>
          <w:rStyle w:val="ab"/>
          <w:rtl/>
        </w:rPr>
        <w:footnoteReference w:id="1"/>
      </w:r>
      <w:r>
        <w:rPr>
          <w:rFonts w:hint="cs"/>
          <w:rtl/>
        </w:rPr>
        <w:t xml:space="preserve"> </w:t>
      </w:r>
      <w:r w:rsidR="008E6CD2">
        <w:rPr>
          <w:rFonts w:hint="cs"/>
          <w:rtl/>
        </w:rPr>
        <w:t xml:space="preserve">החבר אומר שהדבר שמחבר את שאר הדתות </w:t>
      </w:r>
      <w:r w:rsidR="000919F0">
        <w:rPr>
          <w:rFonts w:hint="cs"/>
          <w:rtl/>
        </w:rPr>
        <w:t xml:space="preserve">("ייעודי אותם התורות כולם") </w:t>
      </w:r>
      <w:r w:rsidR="008E6CD2">
        <w:rPr>
          <w:rFonts w:hint="cs"/>
          <w:rtl/>
        </w:rPr>
        <w:t>הוא היסוד של תקוות הקרבה אל ה' ומלאכיו.</w:t>
      </w:r>
    </w:p>
    <w:p w14:paraId="18520A43" w14:textId="662613CC" w:rsidR="008E6CD2" w:rsidRDefault="008E6CD2" w:rsidP="008E6CD2">
      <w:pPr>
        <w:rPr>
          <w:rtl/>
        </w:rPr>
      </w:pPr>
      <w:r>
        <w:rPr>
          <w:rFonts w:hint="cs"/>
          <w:rtl/>
        </w:rPr>
        <w:t>זה תמוה, כי זה מה שאמור להיות ייחודי לעם ישראל, בניגוד לשאר האומות.</w:t>
      </w:r>
    </w:p>
    <w:p w14:paraId="5DD278B6" w14:textId="6658BFD8" w:rsidR="008E6CD2" w:rsidRDefault="008E6CD2" w:rsidP="008E6CD2">
      <w:pPr>
        <w:rPr>
          <w:rtl/>
        </w:rPr>
      </w:pPr>
      <w:r>
        <w:rPr>
          <w:rFonts w:hint="cs"/>
          <w:rtl/>
        </w:rPr>
        <w:t xml:space="preserve">בתרגום של הרב קאפח, אכן יש תוספת </w:t>
      </w:r>
      <w:r w:rsidR="000919F0">
        <w:rPr>
          <w:rFonts w:hint="cs"/>
          <w:rtl/>
        </w:rPr>
        <w:t>שמשנה את המשמעות לכך שיסוד זה הוא ייעודנו ולא ייעודם.</w:t>
      </w:r>
    </w:p>
    <w:p w14:paraId="75C4B7EE" w14:textId="0CAAF89A" w:rsidR="000919F0" w:rsidRDefault="000919F0" w:rsidP="008E6CD2">
      <w:pPr>
        <w:rPr>
          <w:rtl/>
        </w:rPr>
      </w:pPr>
      <w:r>
        <w:rPr>
          <w:rFonts w:hint="cs"/>
          <w:rtl/>
        </w:rPr>
        <w:t>הרב שילת מתרגם את זה ל"המצוות" ולא "התורות", ומדובר על המצוות שלנו.</w:t>
      </w:r>
    </w:p>
    <w:p w14:paraId="160FE7D1" w14:textId="49FB9F25" w:rsidR="00450697" w:rsidRDefault="0002509C" w:rsidP="008E6CD2">
      <w:pPr>
        <w:rPr>
          <w:rtl/>
        </w:rPr>
      </w:pPr>
      <w:r>
        <w:rPr>
          <w:rFonts w:hint="cs"/>
          <w:rtl/>
        </w:rPr>
        <w:t xml:space="preserve">בסוף פסקה ק"ג </w:t>
      </w:r>
      <w:r w:rsidR="00B92812">
        <w:rPr>
          <w:rFonts w:hint="cs"/>
          <w:rtl/>
        </w:rPr>
        <w:t xml:space="preserve">החבר </w:t>
      </w:r>
      <w:r w:rsidR="00940EC1">
        <w:rPr>
          <w:rFonts w:hint="cs"/>
          <w:rtl/>
        </w:rPr>
        <w:t>מדבר על מצב שבו עוה"ב יכול להימצא כבר בעוה"ז, וכך ניתן לפרש את הדבקות בצורה אחרת.</w:t>
      </w:r>
    </w:p>
    <w:p w14:paraId="222B4321" w14:textId="7718087F" w:rsidR="001752FF" w:rsidRDefault="001752FF" w:rsidP="008E6CD2">
      <w:pPr>
        <w:rPr>
          <w:rtl/>
        </w:rPr>
      </w:pPr>
      <w:r>
        <w:rPr>
          <w:rFonts w:hint="cs"/>
          <w:rtl/>
        </w:rPr>
        <w:t>האברבנאל</w:t>
      </w:r>
      <w:r w:rsidR="00940EC1">
        <w:rPr>
          <w:rStyle w:val="ab"/>
          <w:rtl/>
        </w:rPr>
        <w:footnoteReference w:id="2"/>
      </w:r>
      <w:r>
        <w:rPr>
          <w:rFonts w:hint="cs"/>
          <w:rtl/>
        </w:rPr>
        <w:t xml:space="preserve"> כותב שהדבקות בבורא בעולם העליון היא גם בהיותה אצל הגוף</w:t>
      </w:r>
      <w:r w:rsidR="00B92812">
        <w:rPr>
          <w:rFonts w:hint="cs"/>
          <w:rtl/>
        </w:rPr>
        <w:t xml:space="preserve"> בעוה"ז</w:t>
      </w:r>
      <w:r>
        <w:rPr>
          <w:rFonts w:hint="cs"/>
          <w:rtl/>
        </w:rPr>
        <w:t>.</w:t>
      </w:r>
      <w:r w:rsidR="00B92812">
        <w:rPr>
          <w:rFonts w:hint="cs"/>
          <w:rtl/>
        </w:rPr>
        <w:t xml:space="preserve"> ישנם חסידים שזוכים בחייהם להשיג בחושיהם הצלחת נפשם העתידית להם אחר המוות.</w:t>
      </w:r>
    </w:p>
    <w:p w14:paraId="61AEC811" w14:textId="1616AF9A" w:rsidR="00B92812" w:rsidRDefault="001752FF" w:rsidP="00B92812">
      <w:pPr>
        <w:rPr>
          <w:rtl/>
        </w:rPr>
      </w:pPr>
      <w:r>
        <w:rPr>
          <w:rFonts w:hint="cs"/>
          <w:rtl/>
        </w:rPr>
        <w:t>המסילת ישרים בהקדמה כותב על מכין עצמו בפרוזדור כדי להיכנס לטרקלין. לעומת זאת, הרמח"ל בדרך ה' אומר ש</w:t>
      </w:r>
      <w:r w:rsidR="00B92812">
        <w:rPr>
          <w:rFonts w:hint="cs"/>
          <w:rtl/>
        </w:rPr>
        <w:t>עוה"ב</w:t>
      </w:r>
      <w:r>
        <w:rPr>
          <w:rFonts w:hint="cs"/>
          <w:rtl/>
        </w:rPr>
        <w:t xml:space="preserve"> הוא בתוך </w:t>
      </w:r>
      <w:r w:rsidR="00B92812">
        <w:rPr>
          <w:rFonts w:hint="cs"/>
          <w:rtl/>
        </w:rPr>
        <w:t>עוה"ז</w:t>
      </w:r>
      <w:r>
        <w:rPr>
          <w:rFonts w:hint="cs"/>
          <w:rtl/>
        </w:rPr>
        <w:t>.</w:t>
      </w:r>
    </w:p>
    <w:p w14:paraId="7F5B5C24" w14:textId="48068621" w:rsidR="00B92812" w:rsidRDefault="00B92812" w:rsidP="00B92812">
      <w:pPr>
        <w:rPr>
          <w:rtl/>
        </w:rPr>
      </w:pPr>
      <w:r>
        <w:rPr>
          <w:rFonts w:hint="cs"/>
          <w:rtl/>
        </w:rPr>
        <w:t>עוה"ב הוא מצב שנמצא כאן בעוה"ז כאשר אדם דבק בקב"ה.</w:t>
      </w:r>
    </w:p>
    <w:p w14:paraId="10DDFC1E" w14:textId="33F47DB4" w:rsidR="00940EC1" w:rsidRDefault="004A679B" w:rsidP="00940EC1">
      <w:pPr>
        <w:rPr>
          <w:rtl/>
        </w:rPr>
      </w:pPr>
      <w:r>
        <w:rPr>
          <w:rFonts w:hint="cs"/>
          <w:rtl/>
        </w:rPr>
        <w:t xml:space="preserve">זה יכול לקרות בהתנדבות, בלימוד תורה, בהקמת יישובים </w:t>
      </w:r>
      <w:r w:rsidR="00940EC1">
        <w:rPr>
          <w:rFonts w:hint="cs"/>
          <w:rtl/>
        </w:rPr>
        <w:t>וכד'.</w:t>
      </w:r>
    </w:p>
    <w:p w14:paraId="458726A6" w14:textId="2B3D999E" w:rsidR="00940EC1" w:rsidRDefault="00940EC1" w:rsidP="00940EC1">
      <w:pPr>
        <w:rPr>
          <w:rtl/>
        </w:rPr>
      </w:pPr>
      <w:r>
        <w:rPr>
          <w:rFonts w:hint="cs"/>
          <w:rtl/>
        </w:rPr>
        <w:t>הרב קוק באורות הקודש</w:t>
      </w:r>
      <w:r>
        <w:rPr>
          <w:rStyle w:val="ab"/>
          <w:rtl/>
        </w:rPr>
        <w:footnoteReference w:id="3"/>
      </w:r>
      <w:r>
        <w:rPr>
          <w:rFonts w:hint="cs"/>
          <w:rtl/>
        </w:rPr>
        <w:t xml:space="preserve"> כותב שעל מנת לאהוב יפה את עוה"ז צריך להשתקע באהבת עוה"ב.</w:t>
      </w:r>
    </w:p>
    <w:p w14:paraId="753B10EC" w14:textId="5DF324C5" w:rsidR="0015623B" w:rsidRDefault="0015623B" w:rsidP="00940EC1">
      <w:pPr>
        <w:rPr>
          <w:rtl/>
        </w:rPr>
      </w:pPr>
      <w:r>
        <w:rPr>
          <w:rFonts w:hint="cs"/>
          <w:rtl/>
        </w:rPr>
        <w:t>בפסקה הקודמת כתוב, כשאור עוה"ב זורח בפילוש גדול, מרומם הוא את כל ערכי החיים כולם.</w:t>
      </w:r>
    </w:p>
    <w:p w14:paraId="53D68B3C" w14:textId="0CDDF50A" w:rsidR="0015623B" w:rsidRDefault="0015623B" w:rsidP="00940EC1">
      <w:pPr>
        <w:rPr>
          <w:rtl/>
        </w:rPr>
      </w:pPr>
      <w:r>
        <w:rPr>
          <w:rFonts w:hint="cs"/>
          <w:rtl/>
        </w:rPr>
        <w:t>בגמרא</w:t>
      </w:r>
      <w:r w:rsidR="00DE46D8">
        <w:rPr>
          <w:rStyle w:val="ab"/>
          <w:rtl/>
        </w:rPr>
        <w:footnoteReference w:id="4"/>
      </w:r>
      <w:r w:rsidR="00DE46D8">
        <w:rPr>
          <w:rFonts w:hint="cs"/>
          <w:rtl/>
        </w:rPr>
        <w:t xml:space="preserve"> כתוב שהיה נהוג לאחל אחד לשני לפני שיוצאים, "עולמך תראה בחייך ואחריתך לחיי העולם הבא".</w:t>
      </w:r>
    </w:p>
    <w:p w14:paraId="2C396C2D" w14:textId="20812ED0" w:rsidR="002E05FC" w:rsidRPr="00636120" w:rsidRDefault="003D097B" w:rsidP="00431536">
      <w:r>
        <w:rPr>
          <w:rFonts w:hint="cs"/>
          <w:rtl/>
        </w:rPr>
        <w:t>הרב קוק</w:t>
      </w:r>
      <w:r>
        <w:rPr>
          <w:rStyle w:val="ab"/>
          <w:rtl/>
        </w:rPr>
        <w:footnoteReference w:id="5"/>
      </w:r>
      <w:r>
        <w:rPr>
          <w:rFonts w:hint="cs"/>
          <w:rtl/>
        </w:rPr>
        <w:t xml:space="preserve"> </w:t>
      </w:r>
      <w:r w:rsidR="002E05FC">
        <w:rPr>
          <w:rFonts w:hint="cs"/>
          <w:rtl/>
        </w:rPr>
        <w:t>כותב שהפרטיות (שכר ועונש</w:t>
      </w:r>
      <w:r w:rsidR="00431536">
        <w:rPr>
          <w:rFonts w:hint="cs"/>
          <w:rtl/>
        </w:rPr>
        <w:t xml:space="preserve"> ועוה"ב</w:t>
      </w:r>
      <w:r w:rsidR="002E05FC">
        <w:rPr>
          <w:rFonts w:hint="cs"/>
          <w:rtl/>
        </w:rPr>
        <w:t xml:space="preserve"> של אדם פרטי) לא הייתה נצרכת בתקופת בית שני, כי הם חיו את האידיאה האלקית הישראלית. כשאין שכינה שורה, מתחילים לדבר על הפרט ולא על הכלל. לכן אחרי בית שני, גם בהלכה וגם בעולם המחשבתי התחילו לדבר באופן פרטי.</w:t>
      </w:r>
    </w:p>
    <w:sectPr w:rsidR="002E05FC" w:rsidRPr="00636120"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72D8" w14:textId="77777777" w:rsidR="00402C36" w:rsidRDefault="00402C36" w:rsidP="00636120">
      <w:pPr>
        <w:spacing w:after="0"/>
      </w:pPr>
      <w:r>
        <w:separator/>
      </w:r>
    </w:p>
  </w:endnote>
  <w:endnote w:type="continuationSeparator" w:id="0">
    <w:p w14:paraId="60D53DEA" w14:textId="77777777" w:rsidR="00402C36" w:rsidRDefault="00402C36" w:rsidP="00636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71A4" w14:textId="77777777" w:rsidR="00402C36" w:rsidRDefault="00402C36" w:rsidP="00636120">
      <w:pPr>
        <w:spacing w:after="0"/>
      </w:pPr>
      <w:r>
        <w:separator/>
      </w:r>
    </w:p>
  </w:footnote>
  <w:footnote w:type="continuationSeparator" w:id="0">
    <w:p w14:paraId="2D42456E" w14:textId="77777777" w:rsidR="00402C36" w:rsidRDefault="00402C36" w:rsidP="00636120">
      <w:pPr>
        <w:spacing w:after="0"/>
      </w:pPr>
      <w:r>
        <w:continuationSeparator/>
      </w:r>
    </w:p>
  </w:footnote>
  <w:footnote w:id="1">
    <w:p w14:paraId="5A512C01" w14:textId="24468506" w:rsidR="00940EC1" w:rsidRDefault="00940EC1">
      <w:pPr>
        <w:pStyle w:val="a5"/>
        <w:rPr>
          <w:rFonts w:hint="cs"/>
        </w:rPr>
      </w:pPr>
      <w:r>
        <w:rPr>
          <w:rStyle w:val="ab"/>
        </w:rPr>
        <w:footnoteRef/>
      </w:r>
      <w:r>
        <w:rPr>
          <w:rtl/>
        </w:rPr>
        <w:t xml:space="preserve"> </w:t>
      </w:r>
      <w:r>
        <w:rPr>
          <w:rFonts w:hint="cs"/>
          <w:rtl/>
        </w:rPr>
        <w:t>לפי תרגומו של יהודה אבן שמואל</w:t>
      </w:r>
    </w:p>
  </w:footnote>
  <w:footnote w:id="2">
    <w:p w14:paraId="700AF475" w14:textId="73250571" w:rsidR="00940EC1" w:rsidRDefault="00940EC1">
      <w:pPr>
        <w:pStyle w:val="a5"/>
        <w:rPr>
          <w:rFonts w:hint="cs"/>
          <w:rtl/>
        </w:rPr>
      </w:pPr>
      <w:r>
        <w:rPr>
          <w:rStyle w:val="ab"/>
        </w:rPr>
        <w:footnoteRef/>
      </w:r>
      <w:r>
        <w:rPr>
          <w:rtl/>
        </w:rPr>
        <w:t xml:space="preserve"> </w:t>
      </w:r>
      <w:r>
        <w:rPr>
          <w:rFonts w:hint="cs"/>
          <w:rtl/>
        </w:rPr>
        <w:t>ויקרא כ"ו</w:t>
      </w:r>
    </w:p>
  </w:footnote>
  <w:footnote w:id="3">
    <w:p w14:paraId="6CC4FD1E" w14:textId="0B2BEAB7" w:rsidR="00940EC1" w:rsidRDefault="00940EC1">
      <w:pPr>
        <w:pStyle w:val="a5"/>
        <w:rPr>
          <w:rFonts w:hint="cs"/>
        </w:rPr>
      </w:pPr>
      <w:r>
        <w:rPr>
          <w:rStyle w:val="ab"/>
        </w:rPr>
        <w:footnoteRef/>
      </w:r>
      <w:r>
        <w:rPr>
          <w:rtl/>
        </w:rPr>
        <w:t xml:space="preserve"> </w:t>
      </w:r>
      <w:r>
        <w:rPr>
          <w:rFonts w:hint="cs"/>
          <w:rtl/>
        </w:rPr>
        <w:t>ח"ג, קכ"ג</w:t>
      </w:r>
    </w:p>
  </w:footnote>
  <w:footnote w:id="4">
    <w:p w14:paraId="4EE80434" w14:textId="546FCB50" w:rsidR="00DE46D8" w:rsidRDefault="00DE46D8">
      <w:pPr>
        <w:pStyle w:val="a5"/>
        <w:rPr>
          <w:rFonts w:hint="cs"/>
          <w:rtl/>
        </w:rPr>
      </w:pPr>
      <w:r>
        <w:rPr>
          <w:rStyle w:val="ab"/>
        </w:rPr>
        <w:footnoteRef/>
      </w:r>
      <w:r>
        <w:rPr>
          <w:rtl/>
        </w:rPr>
        <w:t xml:space="preserve"> </w:t>
      </w:r>
      <w:r w:rsidR="003D097B">
        <w:rPr>
          <w:rFonts w:hint="cs"/>
          <w:rtl/>
        </w:rPr>
        <w:t xml:space="preserve">ברכות יז. , </w:t>
      </w:r>
      <w:r>
        <w:rPr>
          <w:rFonts w:hint="cs"/>
          <w:rtl/>
        </w:rPr>
        <w:t>וגם בשיר "זוהר הרקיע"</w:t>
      </w:r>
    </w:p>
  </w:footnote>
  <w:footnote w:id="5">
    <w:p w14:paraId="41F0BD15" w14:textId="3B50FE9A" w:rsidR="003D097B" w:rsidRDefault="003D097B">
      <w:pPr>
        <w:pStyle w:val="a5"/>
        <w:rPr>
          <w:rFonts w:hint="cs"/>
        </w:rPr>
      </w:pPr>
      <w:r>
        <w:rPr>
          <w:rStyle w:val="ab"/>
        </w:rPr>
        <w:footnoteRef/>
      </w:r>
      <w:r>
        <w:rPr>
          <w:rtl/>
        </w:rPr>
        <w:t xml:space="preserve"> </w:t>
      </w:r>
      <w:r>
        <w:rPr>
          <w:rFonts w:hint="cs"/>
          <w:rtl/>
        </w:rPr>
        <w:t>'למהלך האידאות בישראל', אורות, עמ' ק"י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B0B9" w14:textId="0B4A6D3F" w:rsidR="00636120" w:rsidRDefault="00636120">
    <w:pPr>
      <w:pStyle w:val="a7"/>
    </w:pPr>
    <w:r>
      <w:rPr>
        <w:rFonts w:hint="cs"/>
        <w:rtl/>
      </w:rPr>
      <w:t>בס"ד</w:t>
    </w:r>
    <w:r>
      <w:rPr>
        <w:rtl/>
      </w:rPr>
      <w:ptab w:relativeTo="margin" w:alignment="right" w:leader="none"/>
    </w:r>
    <w:r>
      <w:rPr>
        <w:rFonts w:hint="cs"/>
        <w:rtl/>
      </w:rPr>
      <w:t>ז' באדר 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A"/>
    <w:rsid w:val="0002509C"/>
    <w:rsid w:val="000919F0"/>
    <w:rsid w:val="00147567"/>
    <w:rsid w:val="0015623B"/>
    <w:rsid w:val="001752FF"/>
    <w:rsid w:val="001F3942"/>
    <w:rsid w:val="002E05FC"/>
    <w:rsid w:val="00345EB8"/>
    <w:rsid w:val="003D097B"/>
    <w:rsid w:val="00402C36"/>
    <w:rsid w:val="00431536"/>
    <w:rsid w:val="00450697"/>
    <w:rsid w:val="004A679B"/>
    <w:rsid w:val="006140F2"/>
    <w:rsid w:val="00636120"/>
    <w:rsid w:val="006856EA"/>
    <w:rsid w:val="00696165"/>
    <w:rsid w:val="006F31E6"/>
    <w:rsid w:val="00734E01"/>
    <w:rsid w:val="008E6CD2"/>
    <w:rsid w:val="00940EC1"/>
    <w:rsid w:val="00971C95"/>
    <w:rsid w:val="009E3F02"/>
    <w:rsid w:val="00A71461"/>
    <w:rsid w:val="00B3202C"/>
    <w:rsid w:val="00B92812"/>
    <w:rsid w:val="00C461A6"/>
    <w:rsid w:val="00D637FA"/>
    <w:rsid w:val="00DC439A"/>
    <w:rsid w:val="00DE251B"/>
    <w:rsid w:val="00DE46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F843"/>
  <w15:chartTrackingRefBased/>
  <w15:docId w15:val="{F423CD0A-2D75-40DE-BB28-751FEB9F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B3202C"/>
    <w:pPr>
      <w:outlineLvl w:val="1"/>
    </w:pPr>
    <w:rPr>
      <w:rFonts w:ascii="Heebo Medium" w:hAnsi="Heebo Medium" w:cstheme="min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B3202C"/>
    <w:rPr>
      <w:rFonts w:ascii="Heebo Medium" w:hAnsi="Heebo Medium" w:cstheme="minorBidi"/>
      <w:sz w:val="26"/>
      <w:szCs w:val="26"/>
    </w:rPr>
  </w:style>
  <w:style w:type="paragraph" w:styleId="a5">
    <w:name w:val="footnote text"/>
    <w:basedOn w:val="a"/>
    <w:link w:val="a6"/>
    <w:autoRedefine/>
    <w:uiPriority w:val="99"/>
    <w:unhideWhenUsed/>
    <w:rsid w:val="00940EC1"/>
    <w:rPr>
      <w:sz w:val="20"/>
      <w:szCs w:val="20"/>
    </w:rPr>
  </w:style>
  <w:style w:type="character" w:customStyle="1" w:styleId="a6">
    <w:name w:val="טקסט הערת שוליים תו"/>
    <w:basedOn w:val="a0"/>
    <w:link w:val="a5"/>
    <w:uiPriority w:val="99"/>
    <w:rsid w:val="00940EC1"/>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aliases w:val="חכחכחכ"/>
    <w:basedOn w:val="a"/>
    <w:next w:val="a"/>
    <w:link w:val="af0"/>
    <w:uiPriority w:val="29"/>
    <w:qFormat/>
    <w:rsid w:val="00B3202C"/>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B3202C"/>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280</Words>
  <Characters>1401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7</cp:revision>
  <dcterms:created xsi:type="dcterms:W3CDTF">2022-03-10T15:39:00Z</dcterms:created>
  <dcterms:modified xsi:type="dcterms:W3CDTF">2022-03-10T16:26:00Z</dcterms:modified>
</cp:coreProperties>
</file>