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ParkCenter 400 – Underwriting Assumptions</w:t>
      </w:r>
    </w:p>
    <w:p>
      <w:r>
        <w:t>This document summarizes the underwriting input assumptions for ParkCenter 400 (400 N Tustin Ave, Santa Ana, CA), to be used by the development team in building the MVP underwriting platform.</w:t>
      </w:r>
    </w:p>
    <w:p>
      <w:pPr>
        <w:pStyle w:val="Heading2"/>
      </w:pPr>
      <w:r>
        <w:t>1. Proposed Purchase Price</w:t>
      </w:r>
    </w:p>
    <w:p>
      <w:r>
        <w:t>Target acquisition price: Approximately $34M.</w:t>
        <w:br/>
        <w:t>- Based on recent market comps in Orange County.</w:t>
        <w:br/>
        <w:t>- Equivalent to ~$272 per sq ft for ~125,000 rentable sq ft.</w:t>
      </w:r>
    </w:p>
    <w:p>
      <w:pPr>
        <w:pStyle w:val="Heading2"/>
      </w:pPr>
      <w:r>
        <w:t>2. Debt Assumptions</w:t>
      </w:r>
    </w:p>
    <w:p>
      <w:r>
        <w:t>Recommended financing structure:</w:t>
        <w:br/>
        <w:t>- Loan-to-Value (LTV): 65%</w:t>
        <w:br/>
        <w:t>- Loan Amount: ~$22.1M</w:t>
        <w:br/>
        <w:t>- Interest Rate: 6.25%</w:t>
        <w:br/>
        <w:t>- Amortization: 25 years</w:t>
        <w:br/>
        <w:t>- Term: 5 years (with extension options)</w:t>
      </w:r>
    </w:p>
    <w:p>
      <w:pPr>
        <w:pStyle w:val="Heading2"/>
      </w:pPr>
      <w:r>
        <w:t>3. Desired Holding Period</w:t>
      </w:r>
    </w:p>
    <w:p>
      <w:r>
        <w:t>Two scenarios should be modeled:</w:t>
        <w:br/>
        <w:t>- 5-year hold (short-term value-add, stabilization)</w:t>
        <w:br/>
        <w:t>- 10-year hold (core hold with long-term appreciation)</w:t>
      </w:r>
    </w:p>
    <w:p>
      <w:pPr>
        <w:pStyle w:val="Heading2"/>
      </w:pPr>
      <w:r>
        <w:t>4. Assumed Exit Cap Rate</w:t>
      </w:r>
    </w:p>
    <w:p>
      <w:r>
        <w:t>Market entry cap rate: ~6.25%.</w:t>
        <w:br/>
        <w:t>Underwriting should assume a conservative exit cap rate of 7.0% (50–75 bps above entry cap).</w:t>
      </w:r>
    </w:p>
    <w:p>
      <w:pPr>
        <w:pStyle w:val="Heading2"/>
      </w:pPr>
      <w:r>
        <w:t>5. Total Suite/Unit Count</w:t>
      </w:r>
    </w:p>
    <w:p>
      <w:r>
        <w:t>The building consists of ~125,000 sq ft across four stories.</w:t>
        <w:br/>
        <w:t>Current leasing shows 15–20 demised suites (depending on configuration).</w:t>
        <w:br/>
        <w:t>Approximate suite count: ~20 total suites.</w:t>
      </w:r>
    </w:p>
    <w:p>
      <w:pPr>
        <w:pStyle w:val="Heading2"/>
      </w:pPr>
      <w:r>
        <w:t>Modeled Outputs Enabled by These Inputs</w:t>
      </w:r>
    </w:p>
    <w:p>
      <w:r>
        <w:t>- 5-year &amp; 10-year IRR (levered and unlevered)</w:t>
        <w:br/>
        <w:t>- DSCR and Cash-on-Cash return</w:t>
        <w:br/>
        <w:t>- Break-even occupancy analysis</w:t>
        <w:br/>
        <w:t>- Sensitivity tables (cap rate and loan term variations)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