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webp" ContentType="image/webp"/>
  <Override PartName="/word/media/image2.webp" ContentType="image/webp"/>
  <Override PartName="/word/media/image3.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60CF5">
      <w:pPr>
        <w:pStyle w:val="9"/>
      </w:pPr>
      <w:r>
        <w:t>ECG Arrhythmia Detection Using Machine Learning</w:t>
      </w:r>
    </w:p>
    <w:p w14:paraId="0071389D">
      <w:pPr>
        <w:spacing w:after="400"/>
        <w:jc w:val="center"/>
      </w:pPr>
      <w:r>
        <w:rPr>
          <w:rFonts w:ascii="Arial" w:hAnsi="Arial" w:eastAsia="Arial" w:cs="Arial"/>
          <w:sz w:val="24"/>
          <w:szCs w:val="24"/>
        </w:rPr>
        <w:t xml:space="preserve">Name: </w:t>
      </w:r>
      <w:r>
        <w:rPr>
          <w:rFonts w:hint="eastAsia" w:eastAsia="宋体" w:cs="Arial"/>
          <w:sz w:val="24"/>
          <w:szCs w:val="24"/>
          <w:lang w:val="en-US" w:eastAsia="zh-CN"/>
        </w:rPr>
        <w:t>Zixiang Li</w:t>
      </w:r>
      <w:r>
        <w:rPr>
          <w:rFonts w:ascii="Arial" w:hAnsi="Arial" w:eastAsia="Arial" w:cs="Arial"/>
          <w:sz w:val="24"/>
          <w:szCs w:val="24"/>
        </w:rPr>
        <w:t xml:space="preserve">    ID: </w:t>
      </w:r>
      <w:r>
        <w:rPr>
          <w:rFonts w:hint="eastAsia" w:eastAsia="宋体" w:cs="Arial"/>
          <w:sz w:val="24"/>
          <w:szCs w:val="24"/>
          <w:lang w:val="en-US" w:eastAsia="zh-CN"/>
        </w:rPr>
        <w:t>3081014L</w:t>
      </w:r>
    </w:p>
    <w:p w14:paraId="5335F614">
      <w:pPr>
        <w:pStyle w:val="2"/>
      </w:pPr>
      <w:r>
        <w:t>Introduction</w:t>
      </w:r>
    </w:p>
    <w:p w14:paraId="73218797">
      <w:pPr>
        <w:spacing w:after="200"/>
      </w:pPr>
      <w:r>
        <w:rPr>
          <w:rFonts w:ascii="Arial" w:hAnsi="Arial" w:eastAsia="Arial" w:cs="Arial"/>
          <w:sz w:val="24"/>
          <w:szCs w:val="24"/>
        </w:rPr>
        <w:t>Electrocardiogram (ECG) is the most commonly used and economical tool for diagnosing arrhythmias. However, manual interpretation faces significant challenges: it is time-consuming and has high misdiagnosis rates. A 2016 study showed that approximately one in three patients out of 550,000 had their ECGs misdiagnosed. Therefore, automated machine learning classification systems can improve diagnostic efficiency and accuracy while reducing human errors.</w:t>
      </w:r>
    </w:p>
    <w:p w14:paraId="516253D2">
      <w:pPr>
        <w:spacing w:after="200"/>
      </w:pPr>
      <w:r>
        <w:rPr>
          <w:rFonts w:ascii="Arial" w:hAnsi="Arial" w:eastAsia="Arial" w:cs="Arial"/>
          <w:b/>
          <w:bCs/>
          <w:sz w:val="24"/>
          <w:szCs w:val="24"/>
        </w:rPr>
        <w:t xml:space="preserve">Predictive Question: </w:t>
      </w:r>
      <w:r>
        <w:rPr>
          <w:rFonts w:ascii="Arial" w:hAnsi="Arial" w:eastAsia="Arial" w:cs="Arial"/>
          <w:sz w:val="24"/>
          <w:szCs w:val="24"/>
        </w:rPr>
        <w:t>Can machine learning models accurately classify 8 different types of ECG heartbeats, and which model performs best under different validation strategie</w:t>
      </w:r>
      <w:bookmarkStart w:id="0" w:name="_GoBack"/>
      <w:bookmarkEnd w:id="0"/>
      <w:r>
        <w:rPr>
          <w:rFonts w:ascii="Arial" w:hAnsi="Arial" w:eastAsia="Arial" w:cs="Arial"/>
          <w:sz w:val="24"/>
          <w:szCs w:val="24"/>
        </w:rPr>
        <w:t>s?</w:t>
      </w:r>
    </w:p>
    <w:p w14:paraId="68F344F1">
      <w:pPr>
        <w:pStyle w:val="2"/>
      </w:pPr>
      <w:r>
        <w:t>Methods</w:t>
      </w:r>
    </w:p>
    <w:p w14:paraId="5A1B997A">
      <w:pPr>
        <w:pStyle w:val="3"/>
      </w:pPr>
      <w:r>
        <w:t>2.1 Dataset</w:t>
      </w:r>
    </w:p>
    <w:p w14:paraId="5AC6EC01">
      <w:pPr>
        <w:spacing w:after="200"/>
      </w:pPr>
      <w:r>
        <w:rPr>
          <w:rFonts w:ascii="Arial" w:hAnsi="Arial" w:eastAsia="Arial" w:cs="Arial"/>
          <w:sz w:val="24"/>
          <w:szCs w:val="24"/>
        </w:rPr>
        <w:t>The MIT-BIH Arrhythmia Database was used, containing 24-hour ambulatory ECG recordings from 47 subjects, digitized at 360 samples per second with 11-bit resolution. The population consists of 60% inpatients and 40% outpatients. Each heartbeat contains 275 time points. The dataset includes 8 types of ECG beats: Normal (N), Left Bundle Branch Block (L), Right Bundle Branch Block (R), Premature Ventricular Contraction (V), Atrial Premature Beat (A), Fusion (F), Fusion Paced (f), and Paced (/).</w:t>
      </w:r>
    </w:p>
    <w:p w14:paraId="1BB567B0">
      <w:pPr>
        <w:pStyle w:val="3"/>
      </w:pPr>
      <w:r>
        <w:t>2.2 Data Preprocessing</w:t>
      </w:r>
    </w:p>
    <w:p w14:paraId="3D7B36C2">
      <w:pPr>
        <w:pStyle w:val="14"/>
        <w:numPr>
          <w:ilvl w:val="0"/>
          <w:numId w:val="1"/>
        </w:numPr>
      </w:pPr>
      <w:r>
        <w:rPr>
          <w:rFonts w:ascii="Arial" w:hAnsi="Arial" w:eastAsia="Arial" w:cs="Arial"/>
          <w:sz w:val="24"/>
          <w:szCs w:val="24"/>
        </w:rPr>
        <w:t>R-peak Centering: Align R-peaks to fixed positions, extracting equal data points on both sides to maintain consistency</w:t>
      </w:r>
    </w:p>
    <w:p w14:paraId="37984FE8">
      <w:pPr>
        <w:pStyle w:val="14"/>
        <w:numPr>
          <w:ilvl w:val="0"/>
          <w:numId w:val="1"/>
        </w:numPr>
      </w:pPr>
      <w:r>
        <w:rPr>
          <w:rFonts w:ascii="Arial" w:hAnsi="Arial" w:eastAsia="Arial" w:cs="Arial"/>
          <w:sz w:val="24"/>
          <w:szCs w:val="24"/>
        </w:rPr>
        <w:t>Standardization: Eliminate amplitude differences between different patients</w:t>
      </w:r>
    </w:p>
    <w:p w14:paraId="0B73EBB0">
      <w:pPr>
        <w:pStyle w:val="14"/>
        <w:numPr>
          <w:ilvl w:val="0"/>
          <w:numId w:val="1"/>
        </w:numPr>
        <w:spacing w:after="200"/>
      </w:pPr>
      <w:r>
        <w:rPr>
          <w:rFonts w:ascii="Arial" w:hAnsi="Arial" w:eastAsia="Arial" w:cs="Arial"/>
          <w:sz w:val="24"/>
          <w:szCs w:val="24"/>
        </w:rPr>
        <w:t>Bootstrap Resampling: Balance class distribution using scikit-learn's resample function, calculating target sample size as the mean of abnormal classes</w:t>
      </w:r>
    </w:p>
    <w:p w14:paraId="43F958D5">
      <w:pPr>
        <w:pStyle w:val="3"/>
      </w:pPr>
      <w:r>
        <w:t>2.3 Validation Strategies</w:t>
      </w:r>
    </w:p>
    <w:p w14:paraId="4F9929C0">
      <w:pPr>
        <w:spacing w:after="100"/>
      </w:pPr>
      <w:r>
        <w:rPr>
          <w:rFonts w:ascii="Arial" w:hAnsi="Arial" w:eastAsia="Arial" w:cs="Arial"/>
          <w:sz w:val="24"/>
          <w:szCs w:val="24"/>
        </w:rPr>
        <w:t>Two validation protocols were applied:</w:t>
      </w:r>
    </w:p>
    <w:p w14:paraId="7B958947">
      <w:pPr>
        <w:pStyle w:val="14"/>
        <w:numPr>
          <w:ilvl w:val="0"/>
          <w:numId w:val="2"/>
        </w:numPr>
      </w:pPr>
      <w:r>
        <w:rPr>
          <w:rFonts w:ascii="Arial" w:hAnsi="Arial" w:eastAsia="Arial" w:cs="Arial"/>
          <w:b/>
          <w:bCs/>
          <w:sz w:val="24"/>
          <w:szCs w:val="24"/>
        </w:rPr>
        <w:t xml:space="preserve">Beat Holdout: </w:t>
      </w:r>
      <w:r>
        <w:rPr>
          <w:rFonts w:ascii="Arial" w:hAnsi="Arial" w:eastAsia="Arial" w:cs="Arial"/>
          <w:sz w:val="24"/>
          <w:szCs w:val="24"/>
        </w:rPr>
        <w:t>Randomly splits all beats into 75% training (30,992 samples) and 25% testing (37,442 samples). This method may cause data leakage since beats from the same patient appear in both sets.</w:t>
      </w:r>
    </w:p>
    <w:p w14:paraId="27EEBC4D">
      <w:pPr>
        <w:pStyle w:val="14"/>
        <w:numPr>
          <w:ilvl w:val="0"/>
          <w:numId w:val="2"/>
        </w:numPr>
        <w:spacing w:after="200"/>
      </w:pPr>
      <w:r>
        <w:rPr>
          <w:rFonts w:ascii="Arial" w:hAnsi="Arial" w:eastAsia="Arial" w:cs="Arial"/>
          <w:b/>
          <w:bCs/>
          <w:sz w:val="24"/>
          <w:szCs w:val="24"/>
        </w:rPr>
        <w:t xml:space="preserve">Patient Holdout: </w:t>
      </w:r>
      <w:r>
        <w:rPr>
          <w:rFonts w:ascii="Arial" w:hAnsi="Arial" w:eastAsia="Arial" w:cs="Arial"/>
          <w:sz w:val="24"/>
          <w:szCs w:val="24"/>
        </w:rPr>
        <w:t>Patients 104, 113, 119, 208, and 210 are held out for testing (14,482 samples), while remaining 43 patients are used for training (200,352 samples). This avoids data leakage by testing on completely unseen patients.</w:t>
      </w:r>
    </w:p>
    <w:p w14:paraId="0E40B1EB">
      <w:pPr>
        <w:pStyle w:val="3"/>
      </w:pPr>
      <w:r>
        <w:t>2.4 Classification Models</w:t>
      </w:r>
    </w:p>
    <w:p w14:paraId="053160C5">
      <w:pPr>
        <w:pStyle w:val="14"/>
        <w:numPr>
          <w:ilvl w:val="0"/>
          <w:numId w:val="3"/>
        </w:numPr>
      </w:pPr>
      <w:r>
        <w:rPr>
          <w:rFonts w:ascii="Arial" w:hAnsi="Arial" w:eastAsia="Arial" w:cs="Arial"/>
          <w:sz w:val="24"/>
          <w:szCs w:val="24"/>
        </w:rPr>
        <w:t>Support Vector Machine (SVM): kernel='rbf', C=1.0, gamma='scale'</w:t>
      </w:r>
    </w:p>
    <w:p w14:paraId="00AD594D">
      <w:pPr>
        <w:pStyle w:val="14"/>
        <w:numPr>
          <w:ilvl w:val="0"/>
          <w:numId w:val="3"/>
        </w:numPr>
      </w:pPr>
      <w:r>
        <w:rPr>
          <w:rFonts w:ascii="Arial" w:hAnsi="Arial" w:eastAsia="Arial" w:cs="Arial"/>
          <w:sz w:val="24"/>
          <w:szCs w:val="24"/>
        </w:rPr>
        <w:t>Random Forest: n_estimators=100, max_depth=20, random_state=42</w:t>
      </w:r>
    </w:p>
    <w:p w14:paraId="741CE46A">
      <w:pPr>
        <w:pStyle w:val="14"/>
        <w:numPr>
          <w:ilvl w:val="0"/>
          <w:numId w:val="3"/>
        </w:numPr>
        <w:spacing w:after="200"/>
      </w:pPr>
      <w:r>
        <w:rPr>
          <w:rFonts w:ascii="Arial" w:hAnsi="Arial" w:eastAsia="Arial" w:cs="Arial"/>
          <w:sz w:val="24"/>
          <w:szCs w:val="24"/>
        </w:rPr>
        <w:t>Multi-Layer Perceptron (MLP): hidden_layer_sizes=(128,64), max_iter=50, activation='relu', solver='adam'</w:t>
      </w:r>
    </w:p>
    <w:p w14:paraId="3B6FC5FB">
      <w:pPr>
        <w:pStyle w:val="3"/>
      </w:pPr>
      <w:r>
        <w:t>2.5 Hyperparameter Tuning</w:t>
      </w:r>
    </w:p>
    <w:p w14:paraId="2C2DC229">
      <w:pPr>
        <w:spacing w:after="100"/>
      </w:pPr>
      <w:r>
        <w:rPr>
          <w:rFonts w:ascii="Arial" w:hAnsi="Arial" w:eastAsia="Arial" w:cs="Arial"/>
          <w:sz w:val="24"/>
          <w:szCs w:val="24"/>
        </w:rPr>
        <w:t>Systematic hyperparameter tuning was conducted:</w:t>
      </w:r>
    </w:p>
    <w:p w14:paraId="72C67987">
      <w:pPr>
        <w:spacing w:after="100"/>
      </w:pPr>
      <w:r>
        <w:rPr>
          <w:rFonts w:ascii="Arial" w:hAnsi="Arial" w:eastAsia="Arial" w:cs="Arial"/>
          <w:b/>
          <w:bCs/>
          <w:sz w:val="24"/>
          <w:szCs w:val="24"/>
        </w:rPr>
        <w:t xml:space="preserve">Random Forest: </w:t>
      </w:r>
      <w:r>
        <w:rPr>
          <w:rFonts w:ascii="Arial" w:hAnsi="Arial" w:eastAsia="Arial" w:cs="Arial"/>
          <w:sz w:val="24"/>
          <w:szCs w:val="24"/>
        </w:rPr>
        <w:t>n_estimators (50, 100, 200, 500) and max_depth (10, 20, 30, None)</w:t>
      </w:r>
    </w:p>
    <w:p w14:paraId="533B5071">
      <w:pPr>
        <w:spacing w:after="200"/>
      </w:pPr>
      <w:r>
        <w:rPr>
          <w:rFonts w:ascii="Arial" w:hAnsi="Arial" w:eastAsia="Arial" w:cs="Arial"/>
          <w:b/>
          <w:bCs/>
          <w:sz w:val="24"/>
          <w:szCs w:val="24"/>
        </w:rPr>
        <w:t xml:space="preserve">MLP: </w:t>
      </w:r>
      <w:r>
        <w:rPr>
          <w:rFonts w:ascii="Arial" w:hAnsi="Arial" w:eastAsia="Arial" w:cs="Arial"/>
          <w:sz w:val="24"/>
          <w:szCs w:val="24"/>
        </w:rPr>
        <w:t>hidden_layer_sizes ((64,32), (128,64), (256,128), (128,64,32)), max_iter (50, 100, 200, 300), learning_rate_init (0.0001, 0.001, 0.01, 0.1)</w:t>
      </w:r>
    </w:p>
    <w:p w14:paraId="6E7D36B7">
      <w:pPr>
        <w:pStyle w:val="3"/>
      </w:pPr>
      <w:r>
        <w:t>2.6 Permutation Feature Importance</w:t>
      </w:r>
    </w:p>
    <w:p w14:paraId="06A93ABF">
      <w:pPr>
        <w:spacing w:after="100"/>
      </w:pPr>
      <w:r>
        <w:rPr>
          <w:rFonts w:ascii="Arial" w:hAnsi="Arial" w:eastAsia="Arial" w:cs="Arial"/>
          <w:sz w:val="24"/>
          <w:szCs w:val="24"/>
        </w:rPr>
        <w:t>To explain model predictions, permutation feature importance with 5-fold cross validation was implemented:</w:t>
      </w:r>
    </w:p>
    <w:p w14:paraId="0353C904">
      <w:pPr>
        <w:pStyle w:val="14"/>
        <w:numPr>
          <w:ilvl w:val="0"/>
          <w:numId w:val="4"/>
        </w:numPr>
      </w:pPr>
      <w:r>
        <w:rPr>
          <w:rFonts w:ascii="Arial" w:hAnsi="Arial" w:eastAsia="Arial" w:cs="Arial"/>
          <w:sz w:val="24"/>
          <w:szCs w:val="24"/>
        </w:rPr>
        <w:t>The 275 time points were divided into 11 slices, each containing 25 samples</w:t>
      </w:r>
    </w:p>
    <w:p w14:paraId="7FBE12BC">
      <w:pPr>
        <w:pStyle w:val="14"/>
        <w:numPr>
          <w:ilvl w:val="0"/>
          <w:numId w:val="4"/>
        </w:numPr>
      </w:pPr>
      <w:r>
        <w:rPr>
          <w:rFonts w:ascii="Arial" w:hAnsi="Arial" w:eastAsia="Arial" w:cs="Arial"/>
          <w:sz w:val="24"/>
          <w:szCs w:val="24"/>
        </w:rPr>
        <w:t>For each fold, the model is trained on training data and predictions are made on test data</w:t>
      </w:r>
    </w:p>
    <w:p w14:paraId="1C0D8DE5">
      <w:pPr>
        <w:pStyle w:val="14"/>
        <w:numPr>
          <w:ilvl w:val="0"/>
          <w:numId w:val="4"/>
        </w:numPr>
      </w:pPr>
      <w:r>
        <w:rPr>
          <w:rFonts w:ascii="Arial" w:hAnsi="Arial" w:eastAsia="Arial" w:cs="Arial"/>
          <w:sz w:val="24"/>
          <w:szCs w:val="24"/>
        </w:rPr>
        <w:t>Data points within each slice are randomly shuffled (permuted), and new predictions are made</w:t>
      </w:r>
    </w:p>
    <w:p w14:paraId="5E52E0CD">
      <w:pPr>
        <w:pStyle w:val="14"/>
        <w:numPr>
          <w:ilvl w:val="0"/>
          <w:numId w:val="4"/>
        </w:numPr>
        <w:spacing w:after="200"/>
      </w:pPr>
      <w:r>
        <w:rPr>
          <w:rFonts w:ascii="Arial" w:hAnsi="Arial" w:eastAsia="Arial" w:cs="Arial"/>
          <w:sz w:val="24"/>
          <w:szCs w:val="24"/>
        </w:rPr>
        <w:t>The importance score is computed as the accuracy drop caused by the permutation, averaged across all folds</w:t>
      </w:r>
    </w:p>
    <w:p w14:paraId="5F2311C5">
      <w:pPr>
        <w:pStyle w:val="2"/>
      </w:pPr>
      <w:r>
        <w:t>Results</w:t>
      </w:r>
    </w:p>
    <w:p w14:paraId="5051939B">
      <w:pPr>
        <w:spacing w:after="200"/>
      </w:pPr>
      <w:r>
        <w:rPr>
          <w:rFonts w:ascii="Arial" w:hAnsi="Arial" w:eastAsia="Arial" w:cs="Arial"/>
          <w:sz w:val="24"/>
          <w:szCs w:val="24"/>
        </w:rPr>
        <w:t>All models were evaluated using Accuracy, Precision, Recall, F1-Score, and Confusion Matrix.</w:t>
      </w:r>
    </w:p>
    <w:p w14:paraId="51B43697">
      <w:pPr>
        <w:pStyle w:val="3"/>
      </w:pPr>
      <w:r>
        <w:t>3.1 Model Performance Comparison</w:t>
      </w:r>
    </w:p>
    <w:p w14:paraId="5808048F">
      <w:pPr>
        <w:spacing w:after="100"/>
        <w:jc w:val="center"/>
      </w:pPr>
      <w:r>
        <w:drawing>
          <wp:inline distT="0" distB="0" distL="0" distR="0">
            <wp:extent cx="4762500" cy="1905000"/>
            <wp:effectExtent l="0" t="0" r="0" b="0"/>
            <wp:docPr id="1" name="model_comparison" descr="Model accuracy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_comparison" descr="Model accuracy comparison" title="Model Comparison"/>
                    <pic:cNvPicPr>
                      <a:picLocks noChangeAspect="1" noChangeArrowheads="1"/>
                    </pic:cNvPicPr>
                  </pic:nvPicPr>
                  <pic:blipFill>
                    <a:blip r:embed="rId6"/>
                    <a:srcRect/>
                    <a:stretch>
                      <a:fillRect/>
                    </a:stretch>
                  </pic:blipFill>
                  <pic:spPr>
                    <a:xfrm>
                      <a:off x="0" y="0"/>
                      <a:ext cx="4762500" cy="1905000"/>
                    </a:xfrm>
                    <a:prstGeom prst="rect">
                      <a:avLst/>
                    </a:prstGeom>
                  </pic:spPr>
                </pic:pic>
              </a:graphicData>
            </a:graphic>
          </wp:inline>
        </w:drawing>
      </w:r>
    </w:p>
    <w:p w14:paraId="7204C0E1">
      <w:pPr>
        <w:spacing w:after="200"/>
        <w:jc w:val="center"/>
      </w:pPr>
      <w:r>
        <w:rPr>
          <w:rFonts w:ascii="Arial" w:hAnsi="Arial" w:eastAsia="Arial" w:cs="Arial"/>
          <w:i/>
          <w:iCs/>
          <w:sz w:val="20"/>
          <w:szCs w:val="20"/>
        </w:rPr>
        <w:t>Figure 1: Model accuracy comparison across validation strategies</w:t>
      </w:r>
    </w:p>
    <w:p w14:paraId="743111D5">
      <w:pPr>
        <w:pStyle w:val="3"/>
      </w:pPr>
      <w:r>
        <w:t>3.2 Performance Metrics</w:t>
      </w:r>
    </w:p>
    <w:p w14:paraId="2AB969A0">
      <w:pPr>
        <w:spacing w:after="100"/>
      </w:pPr>
      <w:r>
        <w:rPr>
          <w:rFonts w:ascii="Arial" w:hAnsi="Arial" w:eastAsia="Arial" w:cs="Arial"/>
          <w:b/>
          <w:bCs/>
          <w:sz w:val="22"/>
          <w:szCs w:val="22"/>
        </w:rPr>
        <w:t>Table 1: Beat Holdout Validation Results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6"/>
        <w:gridCol w:w="1708"/>
        <w:gridCol w:w="1708"/>
        <w:gridCol w:w="1692"/>
        <w:gridCol w:w="1692"/>
      </w:tblGrid>
      <w:tr w14:paraId="30989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E6E6E6"/>
          </w:tcPr>
          <w:p w14:paraId="7BEFF842">
            <w:pPr>
              <w:jc w:val="center"/>
            </w:pPr>
            <w:r>
              <w:rPr>
                <w:rFonts w:ascii="Arial" w:hAnsi="Arial" w:eastAsia="Arial" w:cs="Arial"/>
                <w:b/>
                <w:bCs/>
                <w:sz w:val="22"/>
                <w:szCs w:val="22"/>
              </w:rPr>
              <w:t>Model</w:t>
            </w:r>
          </w:p>
        </w:tc>
        <w:tc>
          <w:tcPr>
            <w:tcW w:w="1755" w:type="dxa"/>
            <w:tcBorders>
              <w:top w:val="single" w:color="CCCCCC" w:sz="0" w:space="0"/>
              <w:left w:val="single" w:color="CCCCCC" w:sz="0" w:space="0"/>
              <w:bottom w:val="single" w:color="CCCCCC" w:sz="0" w:space="0"/>
              <w:right w:val="single" w:color="CCCCCC" w:sz="0" w:space="0"/>
            </w:tcBorders>
            <w:shd w:val="clear" w:color="auto" w:fill="E6E6E6"/>
          </w:tcPr>
          <w:p w14:paraId="0BAD07B9">
            <w:pPr>
              <w:jc w:val="center"/>
            </w:pPr>
            <w:r>
              <w:rPr>
                <w:rFonts w:ascii="Arial" w:hAnsi="Arial" w:eastAsia="Arial" w:cs="Arial"/>
                <w:b/>
                <w:bCs/>
                <w:sz w:val="22"/>
                <w:szCs w:val="22"/>
              </w:rPr>
              <w:t>Accuracy</w:t>
            </w:r>
          </w:p>
        </w:tc>
        <w:tc>
          <w:tcPr>
            <w:tcW w:w="1755" w:type="dxa"/>
            <w:tcBorders>
              <w:top w:val="single" w:color="CCCCCC" w:sz="0" w:space="0"/>
              <w:left w:val="single" w:color="CCCCCC" w:sz="0" w:space="0"/>
              <w:bottom w:val="single" w:color="CCCCCC" w:sz="0" w:space="0"/>
              <w:right w:val="single" w:color="CCCCCC" w:sz="0" w:space="0"/>
            </w:tcBorders>
            <w:shd w:val="clear" w:color="auto" w:fill="E6E6E6"/>
          </w:tcPr>
          <w:p w14:paraId="4C9F65DB">
            <w:pPr>
              <w:jc w:val="center"/>
            </w:pPr>
            <w:r>
              <w:rPr>
                <w:rFonts w:ascii="Arial" w:hAnsi="Arial" w:eastAsia="Arial" w:cs="Arial"/>
                <w:b/>
                <w:bCs/>
                <w:sz w:val="22"/>
                <w:szCs w:val="22"/>
              </w:rPr>
              <w:t>Precision</w:t>
            </w:r>
          </w:p>
        </w:tc>
        <w:tc>
          <w:tcPr>
            <w:tcW w:w="1755" w:type="dxa"/>
            <w:tcBorders>
              <w:top w:val="single" w:color="CCCCCC" w:sz="0" w:space="0"/>
              <w:left w:val="single" w:color="CCCCCC" w:sz="0" w:space="0"/>
              <w:bottom w:val="single" w:color="CCCCCC" w:sz="0" w:space="0"/>
              <w:right w:val="single" w:color="CCCCCC" w:sz="0" w:space="0"/>
            </w:tcBorders>
            <w:shd w:val="clear" w:color="auto" w:fill="E6E6E6"/>
          </w:tcPr>
          <w:p w14:paraId="32F3EBD3">
            <w:pPr>
              <w:jc w:val="center"/>
            </w:pPr>
            <w:r>
              <w:rPr>
                <w:rFonts w:ascii="Arial" w:hAnsi="Arial" w:eastAsia="Arial" w:cs="Arial"/>
                <w:b/>
                <w:bCs/>
                <w:sz w:val="22"/>
                <w:szCs w:val="22"/>
              </w:rPr>
              <w:t>Recall</w:t>
            </w:r>
          </w:p>
        </w:tc>
        <w:tc>
          <w:tcPr>
            <w:tcW w:w="1755" w:type="dxa"/>
            <w:tcBorders>
              <w:top w:val="single" w:color="CCCCCC" w:sz="0" w:space="0"/>
              <w:left w:val="single" w:color="CCCCCC" w:sz="0" w:space="0"/>
              <w:bottom w:val="single" w:color="CCCCCC" w:sz="0" w:space="0"/>
              <w:right w:val="single" w:color="CCCCCC" w:sz="0" w:space="0"/>
            </w:tcBorders>
            <w:shd w:val="clear" w:color="auto" w:fill="E6E6E6"/>
          </w:tcPr>
          <w:p w14:paraId="4554B6FA">
            <w:pPr>
              <w:jc w:val="center"/>
            </w:pPr>
            <w:r>
              <w:rPr>
                <w:rFonts w:ascii="Arial" w:hAnsi="Arial" w:eastAsia="Arial" w:cs="Arial"/>
                <w:b/>
                <w:bCs/>
                <w:sz w:val="22"/>
                <w:szCs w:val="22"/>
              </w:rPr>
              <w:t>F1-Score</w:t>
            </w:r>
          </w:p>
        </w:tc>
      </w:tr>
      <w:tr w14:paraId="1118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7FDE1E13">
            <w:pPr>
              <w:jc w:val="left"/>
            </w:pPr>
            <w:r>
              <w:rPr>
                <w:rFonts w:ascii="Arial" w:hAnsi="Arial" w:eastAsia="Arial" w:cs="Arial"/>
                <w:sz w:val="22"/>
                <w:szCs w:val="22"/>
              </w:rPr>
              <w:t>SVM</w:t>
            </w:r>
          </w:p>
        </w:tc>
        <w:tc>
          <w:tcPr>
            <w:tcW w:w="1755" w:type="dxa"/>
            <w:tcBorders>
              <w:top w:val="single" w:color="CCCCCC" w:sz="0" w:space="0"/>
              <w:left w:val="single" w:color="CCCCCC" w:sz="0" w:space="0"/>
              <w:bottom w:val="single" w:color="CCCCCC" w:sz="0" w:space="0"/>
              <w:right w:val="single" w:color="CCCCCC" w:sz="0" w:space="0"/>
            </w:tcBorders>
          </w:tcPr>
          <w:p w14:paraId="0FB8C07D">
            <w:pPr>
              <w:jc w:val="center"/>
            </w:pPr>
            <w:r>
              <w:rPr>
                <w:rFonts w:ascii="Arial" w:hAnsi="Arial" w:eastAsia="Arial" w:cs="Arial"/>
                <w:sz w:val="22"/>
                <w:szCs w:val="22"/>
              </w:rPr>
              <w:t>93.84%</w:t>
            </w:r>
          </w:p>
        </w:tc>
        <w:tc>
          <w:tcPr>
            <w:tcW w:w="1755" w:type="dxa"/>
            <w:tcBorders>
              <w:top w:val="single" w:color="CCCCCC" w:sz="0" w:space="0"/>
              <w:left w:val="single" w:color="CCCCCC" w:sz="0" w:space="0"/>
              <w:bottom w:val="single" w:color="CCCCCC" w:sz="0" w:space="0"/>
              <w:right w:val="single" w:color="CCCCCC" w:sz="0" w:space="0"/>
            </w:tcBorders>
          </w:tcPr>
          <w:p w14:paraId="1EAD0DAC">
            <w:pPr>
              <w:jc w:val="center"/>
            </w:pPr>
            <w:r>
              <w:rPr>
                <w:rFonts w:ascii="Arial" w:hAnsi="Arial" w:eastAsia="Arial" w:cs="Arial"/>
                <w:sz w:val="22"/>
                <w:szCs w:val="22"/>
              </w:rPr>
              <w:t>96.81%</w:t>
            </w:r>
          </w:p>
        </w:tc>
        <w:tc>
          <w:tcPr>
            <w:tcW w:w="1755" w:type="dxa"/>
            <w:tcBorders>
              <w:top w:val="single" w:color="CCCCCC" w:sz="0" w:space="0"/>
              <w:left w:val="single" w:color="CCCCCC" w:sz="0" w:space="0"/>
              <w:bottom w:val="single" w:color="CCCCCC" w:sz="0" w:space="0"/>
              <w:right w:val="single" w:color="CCCCCC" w:sz="0" w:space="0"/>
            </w:tcBorders>
          </w:tcPr>
          <w:p w14:paraId="42B5E754">
            <w:pPr>
              <w:jc w:val="center"/>
            </w:pPr>
            <w:r>
              <w:rPr>
                <w:rFonts w:ascii="Arial" w:hAnsi="Arial" w:eastAsia="Arial" w:cs="Arial"/>
                <w:sz w:val="22"/>
                <w:szCs w:val="22"/>
              </w:rPr>
              <w:t>93.84%</w:t>
            </w:r>
          </w:p>
        </w:tc>
        <w:tc>
          <w:tcPr>
            <w:tcW w:w="1755" w:type="dxa"/>
            <w:tcBorders>
              <w:top w:val="single" w:color="CCCCCC" w:sz="0" w:space="0"/>
              <w:left w:val="single" w:color="CCCCCC" w:sz="0" w:space="0"/>
              <w:bottom w:val="single" w:color="CCCCCC" w:sz="0" w:space="0"/>
              <w:right w:val="single" w:color="CCCCCC" w:sz="0" w:space="0"/>
            </w:tcBorders>
          </w:tcPr>
          <w:p w14:paraId="4BE3D738">
            <w:pPr>
              <w:jc w:val="center"/>
            </w:pPr>
            <w:r>
              <w:rPr>
                <w:rFonts w:ascii="Arial" w:hAnsi="Arial" w:eastAsia="Arial" w:cs="Arial"/>
                <w:sz w:val="22"/>
                <w:szCs w:val="22"/>
              </w:rPr>
              <w:t>94.92%</w:t>
            </w:r>
          </w:p>
        </w:tc>
      </w:tr>
      <w:tr w14:paraId="05FC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7E36F8EB">
            <w:pPr>
              <w:jc w:val="left"/>
            </w:pPr>
            <w:r>
              <w:rPr>
                <w:rFonts w:ascii="Arial" w:hAnsi="Arial" w:eastAsia="Arial" w:cs="Arial"/>
                <w:sz w:val="22"/>
                <w:szCs w:val="22"/>
              </w:rPr>
              <w:t>Random Forest</w:t>
            </w:r>
          </w:p>
        </w:tc>
        <w:tc>
          <w:tcPr>
            <w:tcW w:w="1755" w:type="dxa"/>
            <w:tcBorders>
              <w:top w:val="single" w:color="CCCCCC" w:sz="0" w:space="0"/>
              <w:left w:val="single" w:color="CCCCCC" w:sz="0" w:space="0"/>
              <w:bottom w:val="single" w:color="CCCCCC" w:sz="0" w:space="0"/>
              <w:right w:val="single" w:color="CCCCCC" w:sz="0" w:space="0"/>
            </w:tcBorders>
          </w:tcPr>
          <w:p w14:paraId="702CC780">
            <w:pPr>
              <w:jc w:val="center"/>
            </w:pPr>
            <w:r>
              <w:rPr>
                <w:rFonts w:ascii="Arial" w:hAnsi="Arial" w:eastAsia="Arial" w:cs="Arial"/>
                <w:sz w:val="22"/>
                <w:szCs w:val="22"/>
              </w:rPr>
              <w:t>96.62%</w:t>
            </w:r>
          </w:p>
        </w:tc>
        <w:tc>
          <w:tcPr>
            <w:tcW w:w="1755" w:type="dxa"/>
            <w:tcBorders>
              <w:top w:val="single" w:color="CCCCCC" w:sz="0" w:space="0"/>
              <w:left w:val="single" w:color="CCCCCC" w:sz="0" w:space="0"/>
              <w:bottom w:val="single" w:color="CCCCCC" w:sz="0" w:space="0"/>
              <w:right w:val="single" w:color="CCCCCC" w:sz="0" w:space="0"/>
            </w:tcBorders>
          </w:tcPr>
          <w:p w14:paraId="00AFD527">
            <w:pPr>
              <w:jc w:val="center"/>
            </w:pPr>
            <w:r>
              <w:rPr>
                <w:rFonts w:ascii="Arial" w:hAnsi="Arial" w:eastAsia="Arial" w:cs="Arial"/>
                <w:sz w:val="22"/>
                <w:szCs w:val="22"/>
              </w:rPr>
              <w:t>97.41%</w:t>
            </w:r>
          </w:p>
        </w:tc>
        <w:tc>
          <w:tcPr>
            <w:tcW w:w="1755" w:type="dxa"/>
            <w:tcBorders>
              <w:top w:val="single" w:color="CCCCCC" w:sz="0" w:space="0"/>
              <w:left w:val="single" w:color="CCCCCC" w:sz="0" w:space="0"/>
              <w:bottom w:val="single" w:color="CCCCCC" w:sz="0" w:space="0"/>
              <w:right w:val="single" w:color="CCCCCC" w:sz="0" w:space="0"/>
            </w:tcBorders>
          </w:tcPr>
          <w:p w14:paraId="5D92EEF1">
            <w:pPr>
              <w:jc w:val="center"/>
            </w:pPr>
            <w:r>
              <w:rPr>
                <w:rFonts w:ascii="Arial" w:hAnsi="Arial" w:eastAsia="Arial" w:cs="Arial"/>
                <w:sz w:val="22"/>
                <w:szCs w:val="22"/>
              </w:rPr>
              <w:t>96.62%</w:t>
            </w:r>
          </w:p>
        </w:tc>
        <w:tc>
          <w:tcPr>
            <w:tcW w:w="1755" w:type="dxa"/>
            <w:tcBorders>
              <w:top w:val="single" w:color="CCCCCC" w:sz="0" w:space="0"/>
              <w:left w:val="single" w:color="CCCCCC" w:sz="0" w:space="0"/>
              <w:bottom w:val="single" w:color="CCCCCC" w:sz="0" w:space="0"/>
              <w:right w:val="single" w:color="CCCCCC" w:sz="0" w:space="0"/>
            </w:tcBorders>
          </w:tcPr>
          <w:p w14:paraId="3882DB82">
            <w:pPr>
              <w:jc w:val="center"/>
            </w:pPr>
            <w:r>
              <w:rPr>
                <w:rFonts w:ascii="Arial" w:hAnsi="Arial" w:eastAsia="Arial" w:cs="Arial"/>
                <w:sz w:val="22"/>
                <w:szCs w:val="22"/>
              </w:rPr>
              <w:t>96.86%</w:t>
            </w:r>
          </w:p>
        </w:tc>
      </w:tr>
      <w:tr w14:paraId="1B5F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1ABD5F12">
            <w:pPr>
              <w:jc w:val="left"/>
            </w:pPr>
            <w:r>
              <w:rPr>
                <w:rFonts w:ascii="Arial" w:hAnsi="Arial" w:eastAsia="Arial" w:cs="Arial"/>
                <w:sz w:val="22"/>
                <w:szCs w:val="22"/>
              </w:rPr>
              <w:t>MLP</w:t>
            </w:r>
          </w:p>
        </w:tc>
        <w:tc>
          <w:tcPr>
            <w:tcW w:w="1755" w:type="dxa"/>
            <w:tcBorders>
              <w:top w:val="single" w:color="CCCCCC" w:sz="0" w:space="0"/>
              <w:left w:val="single" w:color="CCCCCC" w:sz="0" w:space="0"/>
              <w:bottom w:val="single" w:color="CCCCCC" w:sz="0" w:space="0"/>
              <w:right w:val="single" w:color="CCCCCC" w:sz="0" w:space="0"/>
            </w:tcBorders>
          </w:tcPr>
          <w:p w14:paraId="53375C17">
            <w:pPr>
              <w:jc w:val="center"/>
            </w:pPr>
            <w:r>
              <w:rPr>
                <w:rFonts w:ascii="Arial" w:hAnsi="Arial" w:eastAsia="Arial" w:cs="Arial"/>
                <w:sz w:val="22"/>
                <w:szCs w:val="22"/>
              </w:rPr>
              <w:t>94.65%</w:t>
            </w:r>
          </w:p>
        </w:tc>
        <w:tc>
          <w:tcPr>
            <w:tcW w:w="1755" w:type="dxa"/>
            <w:tcBorders>
              <w:top w:val="single" w:color="CCCCCC" w:sz="0" w:space="0"/>
              <w:left w:val="single" w:color="CCCCCC" w:sz="0" w:space="0"/>
              <w:bottom w:val="single" w:color="CCCCCC" w:sz="0" w:space="0"/>
              <w:right w:val="single" w:color="CCCCCC" w:sz="0" w:space="0"/>
            </w:tcBorders>
          </w:tcPr>
          <w:p w14:paraId="01975200">
            <w:pPr>
              <w:jc w:val="center"/>
            </w:pPr>
            <w:r>
              <w:rPr>
                <w:rFonts w:ascii="Arial" w:hAnsi="Arial" w:eastAsia="Arial" w:cs="Arial"/>
                <w:sz w:val="22"/>
                <w:szCs w:val="22"/>
              </w:rPr>
              <w:t>96.96%</w:t>
            </w:r>
          </w:p>
        </w:tc>
        <w:tc>
          <w:tcPr>
            <w:tcW w:w="1755" w:type="dxa"/>
            <w:tcBorders>
              <w:top w:val="single" w:color="CCCCCC" w:sz="0" w:space="0"/>
              <w:left w:val="single" w:color="CCCCCC" w:sz="0" w:space="0"/>
              <w:bottom w:val="single" w:color="CCCCCC" w:sz="0" w:space="0"/>
              <w:right w:val="single" w:color="CCCCCC" w:sz="0" w:space="0"/>
            </w:tcBorders>
          </w:tcPr>
          <w:p w14:paraId="0ACF79B6">
            <w:pPr>
              <w:jc w:val="center"/>
            </w:pPr>
            <w:r>
              <w:rPr>
                <w:rFonts w:ascii="Arial" w:hAnsi="Arial" w:eastAsia="Arial" w:cs="Arial"/>
                <w:sz w:val="22"/>
                <w:szCs w:val="22"/>
              </w:rPr>
              <w:t>94.65%</w:t>
            </w:r>
          </w:p>
        </w:tc>
        <w:tc>
          <w:tcPr>
            <w:tcW w:w="1755" w:type="dxa"/>
            <w:tcBorders>
              <w:top w:val="single" w:color="CCCCCC" w:sz="0" w:space="0"/>
              <w:left w:val="single" w:color="CCCCCC" w:sz="0" w:space="0"/>
              <w:bottom w:val="single" w:color="CCCCCC" w:sz="0" w:space="0"/>
              <w:right w:val="single" w:color="CCCCCC" w:sz="0" w:space="0"/>
            </w:tcBorders>
          </w:tcPr>
          <w:p w14:paraId="477EAF82">
            <w:pPr>
              <w:jc w:val="center"/>
            </w:pPr>
            <w:r>
              <w:rPr>
                <w:rFonts w:ascii="Arial" w:hAnsi="Arial" w:eastAsia="Arial" w:cs="Arial"/>
                <w:sz w:val="22"/>
                <w:szCs w:val="22"/>
              </w:rPr>
              <w:t>95.41%</w:t>
            </w:r>
          </w:p>
        </w:tc>
      </w:tr>
    </w:tbl>
    <w:p w14:paraId="478B7896">
      <w:pPr>
        <w:spacing w:after="200"/>
      </w:pPr>
    </w:p>
    <w:p w14:paraId="7102F3DE">
      <w:pPr>
        <w:spacing w:after="100"/>
      </w:pPr>
      <w:r>
        <w:rPr>
          <w:rFonts w:ascii="Arial" w:hAnsi="Arial" w:eastAsia="Arial" w:cs="Arial"/>
          <w:b/>
          <w:bCs/>
          <w:sz w:val="22"/>
          <w:szCs w:val="22"/>
        </w:rPr>
        <w:t>Table 2: Patient Holdout Validation Results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6"/>
        <w:gridCol w:w="1708"/>
        <w:gridCol w:w="1708"/>
        <w:gridCol w:w="1692"/>
        <w:gridCol w:w="1692"/>
      </w:tblGrid>
      <w:tr w14:paraId="1159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E6E6E6"/>
          </w:tcPr>
          <w:p w14:paraId="03278FFE">
            <w:pPr>
              <w:jc w:val="center"/>
            </w:pPr>
            <w:r>
              <w:rPr>
                <w:rFonts w:ascii="Arial" w:hAnsi="Arial" w:eastAsia="Arial" w:cs="Arial"/>
                <w:b/>
                <w:bCs/>
                <w:sz w:val="22"/>
                <w:szCs w:val="22"/>
              </w:rPr>
              <w:t>Model</w:t>
            </w:r>
          </w:p>
        </w:tc>
        <w:tc>
          <w:tcPr>
            <w:tcW w:w="1755" w:type="dxa"/>
            <w:tcBorders>
              <w:top w:val="single" w:color="CCCCCC" w:sz="0" w:space="0"/>
              <w:left w:val="single" w:color="CCCCCC" w:sz="0" w:space="0"/>
              <w:bottom w:val="single" w:color="CCCCCC" w:sz="0" w:space="0"/>
              <w:right w:val="single" w:color="CCCCCC" w:sz="0" w:space="0"/>
            </w:tcBorders>
            <w:shd w:val="clear" w:color="auto" w:fill="E6E6E6"/>
          </w:tcPr>
          <w:p w14:paraId="42025D6E">
            <w:pPr>
              <w:jc w:val="center"/>
            </w:pPr>
            <w:r>
              <w:rPr>
                <w:rFonts w:ascii="Arial" w:hAnsi="Arial" w:eastAsia="Arial" w:cs="Arial"/>
                <w:b/>
                <w:bCs/>
                <w:sz w:val="22"/>
                <w:szCs w:val="22"/>
              </w:rPr>
              <w:t>Accuracy</w:t>
            </w:r>
          </w:p>
        </w:tc>
        <w:tc>
          <w:tcPr>
            <w:tcW w:w="1755" w:type="dxa"/>
            <w:tcBorders>
              <w:top w:val="single" w:color="CCCCCC" w:sz="0" w:space="0"/>
              <w:left w:val="single" w:color="CCCCCC" w:sz="0" w:space="0"/>
              <w:bottom w:val="single" w:color="CCCCCC" w:sz="0" w:space="0"/>
              <w:right w:val="single" w:color="CCCCCC" w:sz="0" w:space="0"/>
            </w:tcBorders>
            <w:shd w:val="clear" w:color="auto" w:fill="E6E6E6"/>
          </w:tcPr>
          <w:p w14:paraId="523D47F7">
            <w:pPr>
              <w:jc w:val="center"/>
            </w:pPr>
            <w:r>
              <w:rPr>
                <w:rFonts w:ascii="Arial" w:hAnsi="Arial" w:eastAsia="Arial" w:cs="Arial"/>
                <w:b/>
                <w:bCs/>
                <w:sz w:val="22"/>
                <w:szCs w:val="22"/>
              </w:rPr>
              <w:t>Precision</w:t>
            </w:r>
          </w:p>
        </w:tc>
        <w:tc>
          <w:tcPr>
            <w:tcW w:w="1755" w:type="dxa"/>
            <w:tcBorders>
              <w:top w:val="single" w:color="CCCCCC" w:sz="0" w:space="0"/>
              <w:left w:val="single" w:color="CCCCCC" w:sz="0" w:space="0"/>
              <w:bottom w:val="single" w:color="CCCCCC" w:sz="0" w:space="0"/>
              <w:right w:val="single" w:color="CCCCCC" w:sz="0" w:space="0"/>
            </w:tcBorders>
            <w:shd w:val="clear" w:color="auto" w:fill="E6E6E6"/>
          </w:tcPr>
          <w:p w14:paraId="7A5103A4">
            <w:pPr>
              <w:jc w:val="center"/>
            </w:pPr>
            <w:r>
              <w:rPr>
                <w:rFonts w:ascii="Arial" w:hAnsi="Arial" w:eastAsia="Arial" w:cs="Arial"/>
                <w:b/>
                <w:bCs/>
                <w:sz w:val="22"/>
                <w:szCs w:val="22"/>
              </w:rPr>
              <w:t>Recall</w:t>
            </w:r>
          </w:p>
        </w:tc>
        <w:tc>
          <w:tcPr>
            <w:tcW w:w="1755" w:type="dxa"/>
            <w:tcBorders>
              <w:top w:val="single" w:color="CCCCCC" w:sz="0" w:space="0"/>
              <w:left w:val="single" w:color="CCCCCC" w:sz="0" w:space="0"/>
              <w:bottom w:val="single" w:color="CCCCCC" w:sz="0" w:space="0"/>
              <w:right w:val="single" w:color="CCCCCC" w:sz="0" w:space="0"/>
            </w:tcBorders>
            <w:shd w:val="clear" w:color="auto" w:fill="E6E6E6"/>
          </w:tcPr>
          <w:p w14:paraId="244CA969">
            <w:pPr>
              <w:jc w:val="center"/>
            </w:pPr>
            <w:r>
              <w:rPr>
                <w:rFonts w:ascii="Arial" w:hAnsi="Arial" w:eastAsia="Arial" w:cs="Arial"/>
                <w:b/>
                <w:bCs/>
                <w:sz w:val="22"/>
                <w:szCs w:val="22"/>
              </w:rPr>
              <w:t>F1-Score</w:t>
            </w:r>
          </w:p>
        </w:tc>
      </w:tr>
      <w:tr w14:paraId="3089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6215E176">
            <w:pPr>
              <w:jc w:val="left"/>
            </w:pPr>
            <w:r>
              <w:rPr>
                <w:rFonts w:ascii="Arial" w:hAnsi="Arial" w:eastAsia="Arial" w:cs="Arial"/>
                <w:sz w:val="22"/>
                <w:szCs w:val="22"/>
              </w:rPr>
              <w:t>SVM</w:t>
            </w:r>
          </w:p>
        </w:tc>
        <w:tc>
          <w:tcPr>
            <w:tcW w:w="1755" w:type="dxa"/>
            <w:tcBorders>
              <w:top w:val="single" w:color="CCCCCC" w:sz="0" w:space="0"/>
              <w:left w:val="single" w:color="CCCCCC" w:sz="0" w:space="0"/>
              <w:bottom w:val="single" w:color="CCCCCC" w:sz="0" w:space="0"/>
              <w:right w:val="single" w:color="CCCCCC" w:sz="0" w:space="0"/>
            </w:tcBorders>
          </w:tcPr>
          <w:p w14:paraId="3C77C35F">
            <w:pPr>
              <w:jc w:val="center"/>
            </w:pPr>
            <w:r>
              <w:rPr>
                <w:rFonts w:ascii="Arial" w:hAnsi="Arial" w:eastAsia="Arial" w:cs="Arial"/>
                <w:sz w:val="22"/>
                <w:szCs w:val="22"/>
              </w:rPr>
              <w:t>96.33%</w:t>
            </w:r>
          </w:p>
        </w:tc>
        <w:tc>
          <w:tcPr>
            <w:tcW w:w="1755" w:type="dxa"/>
            <w:tcBorders>
              <w:top w:val="single" w:color="CCCCCC" w:sz="0" w:space="0"/>
              <w:left w:val="single" w:color="CCCCCC" w:sz="0" w:space="0"/>
              <w:bottom w:val="single" w:color="CCCCCC" w:sz="0" w:space="0"/>
              <w:right w:val="single" w:color="CCCCCC" w:sz="0" w:space="0"/>
            </w:tcBorders>
          </w:tcPr>
          <w:p w14:paraId="599FB519">
            <w:pPr>
              <w:jc w:val="center"/>
            </w:pPr>
            <w:r>
              <w:rPr>
                <w:rFonts w:ascii="Arial" w:hAnsi="Arial" w:eastAsia="Arial" w:cs="Arial"/>
                <w:sz w:val="22"/>
                <w:szCs w:val="22"/>
              </w:rPr>
              <w:t>97.44%</w:t>
            </w:r>
          </w:p>
        </w:tc>
        <w:tc>
          <w:tcPr>
            <w:tcW w:w="1755" w:type="dxa"/>
            <w:tcBorders>
              <w:top w:val="single" w:color="CCCCCC" w:sz="0" w:space="0"/>
              <w:left w:val="single" w:color="CCCCCC" w:sz="0" w:space="0"/>
              <w:bottom w:val="single" w:color="CCCCCC" w:sz="0" w:space="0"/>
              <w:right w:val="single" w:color="CCCCCC" w:sz="0" w:space="0"/>
            </w:tcBorders>
          </w:tcPr>
          <w:p w14:paraId="3D4C0049">
            <w:pPr>
              <w:jc w:val="center"/>
            </w:pPr>
            <w:r>
              <w:rPr>
                <w:rFonts w:ascii="Arial" w:hAnsi="Arial" w:eastAsia="Arial" w:cs="Arial"/>
                <w:sz w:val="22"/>
                <w:szCs w:val="22"/>
              </w:rPr>
              <w:t>96.33%</w:t>
            </w:r>
          </w:p>
        </w:tc>
        <w:tc>
          <w:tcPr>
            <w:tcW w:w="1755" w:type="dxa"/>
            <w:tcBorders>
              <w:top w:val="single" w:color="CCCCCC" w:sz="0" w:space="0"/>
              <w:left w:val="single" w:color="CCCCCC" w:sz="0" w:space="0"/>
              <w:bottom w:val="single" w:color="CCCCCC" w:sz="0" w:space="0"/>
              <w:right w:val="single" w:color="CCCCCC" w:sz="0" w:space="0"/>
            </w:tcBorders>
          </w:tcPr>
          <w:p w14:paraId="17F2FCF3">
            <w:pPr>
              <w:jc w:val="center"/>
            </w:pPr>
            <w:r>
              <w:rPr>
                <w:rFonts w:ascii="Arial" w:hAnsi="Arial" w:eastAsia="Arial" w:cs="Arial"/>
                <w:sz w:val="22"/>
                <w:szCs w:val="22"/>
              </w:rPr>
              <w:t>96.69%</w:t>
            </w:r>
          </w:p>
        </w:tc>
      </w:tr>
      <w:tr w14:paraId="11CC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5B4F3D40">
            <w:pPr>
              <w:jc w:val="left"/>
            </w:pPr>
            <w:r>
              <w:rPr>
                <w:rFonts w:ascii="Arial" w:hAnsi="Arial" w:eastAsia="Arial" w:cs="Arial"/>
                <w:sz w:val="22"/>
                <w:szCs w:val="22"/>
              </w:rPr>
              <w:t>Random Forest</w:t>
            </w:r>
          </w:p>
        </w:tc>
        <w:tc>
          <w:tcPr>
            <w:tcW w:w="1755" w:type="dxa"/>
            <w:tcBorders>
              <w:top w:val="single" w:color="CCCCCC" w:sz="0" w:space="0"/>
              <w:left w:val="single" w:color="CCCCCC" w:sz="0" w:space="0"/>
              <w:bottom w:val="single" w:color="CCCCCC" w:sz="0" w:space="0"/>
              <w:right w:val="single" w:color="CCCCCC" w:sz="0" w:space="0"/>
            </w:tcBorders>
          </w:tcPr>
          <w:p w14:paraId="7F3878A5">
            <w:pPr>
              <w:jc w:val="center"/>
            </w:pPr>
            <w:r>
              <w:rPr>
                <w:rFonts w:ascii="Arial" w:hAnsi="Arial" w:eastAsia="Arial" w:cs="Arial"/>
                <w:sz w:val="22"/>
                <w:szCs w:val="22"/>
              </w:rPr>
              <w:t>99.79%</w:t>
            </w:r>
          </w:p>
        </w:tc>
        <w:tc>
          <w:tcPr>
            <w:tcW w:w="1755" w:type="dxa"/>
            <w:tcBorders>
              <w:top w:val="single" w:color="CCCCCC" w:sz="0" w:space="0"/>
              <w:left w:val="single" w:color="CCCCCC" w:sz="0" w:space="0"/>
              <w:bottom w:val="single" w:color="CCCCCC" w:sz="0" w:space="0"/>
              <w:right w:val="single" w:color="CCCCCC" w:sz="0" w:space="0"/>
            </w:tcBorders>
          </w:tcPr>
          <w:p w14:paraId="716DEAE6">
            <w:pPr>
              <w:jc w:val="center"/>
            </w:pPr>
            <w:r>
              <w:rPr>
                <w:rFonts w:ascii="Arial" w:hAnsi="Arial" w:eastAsia="Arial" w:cs="Arial"/>
                <w:sz w:val="22"/>
                <w:szCs w:val="22"/>
              </w:rPr>
              <w:t>99.83%</w:t>
            </w:r>
          </w:p>
        </w:tc>
        <w:tc>
          <w:tcPr>
            <w:tcW w:w="1755" w:type="dxa"/>
            <w:tcBorders>
              <w:top w:val="single" w:color="CCCCCC" w:sz="0" w:space="0"/>
              <w:left w:val="single" w:color="CCCCCC" w:sz="0" w:space="0"/>
              <w:bottom w:val="single" w:color="CCCCCC" w:sz="0" w:space="0"/>
              <w:right w:val="single" w:color="CCCCCC" w:sz="0" w:space="0"/>
            </w:tcBorders>
          </w:tcPr>
          <w:p w14:paraId="7FAFE10C">
            <w:pPr>
              <w:jc w:val="center"/>
            </w:pPr>
            <w:r>
              <w:rPr>
                <w:rFonts w:ascii="Arial" w:hAnsi="Arial" w:eastAsia="Arial" w:cs="Arial"/>
                <w:sz w:val="22"/>
                <w:szCs w:val="22"/>
              </w:rPr>
              <w:t>99.79%</w:t>
            </w:r>
          </w:p>
        </w:tc>
        <w:tc>
          <w:tcPr>
            <w:tcW w:w="1755" w:type="dxa"/>
            <w:tcBorders>
              <w:top w:val="single" w:color="CCCCCC" w:sz="0" w:space="0"/>
              <w:left w:val="single" w:color="CCCCCC" w:sz="0" w:space="0"/>
              <w:bottom w:val="single" w:color="CCCCCC" w:sz="0" w:space="0"/>
              <w:right w:val="single" w:color="CCCCCC" w:sz="0" w:space="0"/>
            </w:tcBorders>
          </w:tcPr>
          <w:p w14:paraId="0D305FCB">
            <w:pPr>
              <w:jc w:val="center"/>
            </w:pPr>
            <w:r>
              <w:rPr>
                <w:rFonts w:ascii="Arial" w:hAnsi="Arial" w:eastAsia="Arial" w:cs="Arial"/>
                <w:sz w:val="22"/>
                <w:szCs w:val="22"/>
              </w:rPr>
              <w:t>99.81%</w:t>
            </w:r>
          </w:p>
        </w:tc>
      </w:tr>
      <w:tr w14:paraId="1338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69658988">
            <w:pPr>
              <w:jc w:val="left"/>
            </w:pPr>
            <w:r>
              <w:rPr>
                <w:rFonts w:ascii="Arial" w:hAnsi="Arial" w:eastAsia="Arial" w:cs="Arial"/>
                <w:sz w:val="22"/>
                <w:szCs w:val="22"/>
              </w:rPr>
              <w:t>MLP</w:t>
            </w:r>
          </w:p>
        </w:tc>
        <w:tc>
          <w:tcPr>
            <w:tcW w:w="1755" w:type="dxa"/>
            <w:tcBorders>
              <w:top w:val="single" w:color="CCCCCC" w:sz="0" w:space="0"/>
              <w:left w:val="single" w:color="CCCCCC" w:sz="0" w:space="0"/>
              <w:bottom w:val="single" w:color="CCCCCC" w:sz="0" w:space="0"/>
              <w:right w:val="single" w:color="CCCCCC" w:sz="0" w:space="0"/>
            </w:tcBorders>
          </w:tcPr>
          <w:p w14:paraId="2C664240">
            <w:pPr>
              <w:jc w:val="center"/>
            </w:pPr>
            <w:r>
              <w:rPr>
                <w:rFonts w:ascii="Arial" w:hAnsi="Arial" w:eastAsia="Arial" w:cs="Arial"/>
                <w:sz w:val="22"/>
                <w:szCs w:val="22"/>
              </w:rPr>
              <w:t>99.19%</w:t>
            </w:r>
          </w:p>
        </w:tc>
        <w:tc>
          <w:tcPr>
            <w:tcW w:w="1755" w:type="dxa"/>
            <w:tcBorders>
              <w:top w:val="single" w:color="CCCCCC" w:sz="0" w:space="0"/>
              <w:left w:val="single" w:color="CCCCCC" w:sz="0" w:space="0"/>
              <w:bottom w:val="single" w:color="CCCCCC" w:sz="0" w:space="0"/>
              <w:right w:val="single" w:color="CCCCCC" w:sz="0" w:space="0"/>
            </w:tcBorders>
          </w:tcPr>
          <w:p w14:paraId="1D73D06D">
            <w:pPr>
              <w:jc w:val="center"/>
            </w:pPr>
            <w:r>
              <w:rPr>
                <w:rFonts w:ascii="Arial" w:hAnsi="Arial" w:eastAsia="Arial" w:cs="Arial"/>
                <w:sz w:val="22"/>
                <w:szCs w:val="22"/>
              </w:rPr>
              <w:t>99.42%</w:t>
            </w:r>
          </w:p>
        </w:tc>
        <w:tc>
          <w:tcPr>
            <w:tcW w:w="1755" w:type="dxa"/>
            <w:tcBorders>
              <w:top w:val="single" w:color="CCCCCC" w:sz="0" w:space="0"/>
              <w:left w:val="single" w:color="CCCCCC" w:sz="0" w:space="0"/>
              <w:bottom w:val="single" w:color="CCCCCC" w:sz="0" w:space="0"/>
              <w:right w:val="single" w:color="CCCCCC" w:sz="0" w:space="0"/>
            </w:tcBorders>
          </w:tcPr>
          <w:p w14:paraId="7CCB0FAD">
            <w:pPr>
              <w:jc w:val="center"/>
            </w:pPr>
            <w:r>
              <w:rPr>
                <w:rFonts w:ascii="Arial" w:hAnsi="Arial" w:eastAsia="Arial" w:cs="Arial"/>
                <w:sz w:val="22"/>
                <w:szCs w:val="22"/>
              </w:rPr>
              <w:t>99.19%</w:t>
            </w:r>
          </w:p>
        </w:tc>
        <w:tc>
          <w:tcPr>
            <w:tcW w:w="1755" w:type="dxa"/>
            <w:tcBorders>
              <w:top w:val="single" w:color="CCCCCC" w:sz="0" w:space="0"/>
              <w:left w:val="single" w:color="CCCCCC" w:sz="0" w:space="0"/>
              <w:bottom w:val="single" w:color="CCCCCC" w:sz="0" w:space="0"/>
              <w:right w:val="single" w:color="CCCCCC" w:sz="0" w:space="0"/>
            </w:tcBorders>
          </w:tcPr>
          <w:p w14:paraId="26144169">
            <w:pPr>
              <w:jc w:val="center"/>
            </w:pPr>
            <w:r>
              <w:rPr>
                <w:rFonts w:ascii="Arial" w:hAnsi="Arial" w:eastAsia="Arial" w:cs="Arial"/>
                <w:sz w:val="22"/>
                <w:szCs w:val="22"/>
              </w:rPr>
              <w:t>99.29%</w:t>
            </w:r>
          </w:p>
        </w:tc>
      </w:tr>
    </w:tbl>
    <w:p w14:paraId="209FBA8B">
      <w:pPr>
        <w:spacing w:after="200"/>
      </w:pPr>
    </w:p>
    <w:p w14:paraId="3E1A6662">
      <w:pPr>
        <w:pStyle w:val="3"/>
      </w:pPr>
      <w:r>
        <w:t>3.3 Confusion Matrix - Best Model</w:t>
      </w:r>
    </w:p>
    <w:p w14:paraId="2F1DAD74">
      <w:pPr>
        <w:spacing w:after="100"/>
        <w:jc w:val="center"/>
      </w:pPr>
      <w:r>
        <w:drawing>
          <wp:inline distT="0" distB="0" distL="0" distR="0">
            <wp:extent cx="3333750" cy="3333750"/>
            <wp:effectExtent l="0" t="0" r="0" b="0"/>
            <wp:docPr id="2" name="rf_cm" descr="Random Forest Patient Holdout CM"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f_cm" descr="Random Forest Patient Holdout CM" title="Confusion Matrix"/>
                    <pic:cNvPicPr>
                      <a:picLocks noChangeAspect="1" noChangeArrowheads="1"/>
                    </pic:cNvPicPr>
                  </pic:nvPicPr>
                  <pic:blipFill>
                    <a:blip r:embed="rId7"/>
                    <a:srcRect/>
                    <a:stretch>
                      <a:fillRect/>
                    </a:stretch>
                  </pic:blipFill>
                  <pic:spPr>
                    <a:xfrm>
                      <a:off x="0" y="0"/>
                      <a:ext cx="3333750" cy="3333750"/>
                    </a:xfrm>
                    <a:prstGeom prst="rect">
                      <a:avLst/>
                    </a:prstGeom>
                  </pic:spPr>
                </pic:pic>
              </a:graphicData>
            </a:graphic>
          </wp:inline>
        </w:drawing>
      </w:r>
    </w:p>
    <w:p w14:paraId="45F0C316">
      <w:pPr>
        <w:spacing w:after="200"/>
        <w:jc w:val="center"/>
      </w:pPr>
      <w:r>
        <w:rPr>
          <w:rFonts w:ascii="Arial" w:hAnsi="Arial" w:eastAsia="Arial" w:cs="Arial"/>
          <w:i/>
          <w:iCs/>
          <w:sz w:val="20"/>
          <w:szCs w:val="20"/>
        </w:rPr>
        <w:t>Figure 2: Confusion matrix for Random Forest on Patient Holdout validation</w:t>
      </w:r>
    </w:p>
    <w:p w14:paraId="77292E08">
      <w:pPr>
        <w:pStyle w:val="3"/>
      </w:pPr>
      <w:r>
        <w:t>3.4 Permutation Feature Importance</w:t>
      </w:r>
    </w:p>
    <w:p w14:paraId="46BA4AD4">
      <w:pPr>
        <w:spacing w:after="100"/>
        <w:jc w:val="center"/>
      </w:pPr>
      <w:r>
        <w:drawing>
          <wp:inline distT="0" distB="0" distL="0" distR="0">
            <wp:extent cx="4953000" cy="1714500"/>
            <wp:effectExtent l="0" t="0" r="0" b="0"/>
            <wp:docPr id="3" name="importance" descr="Feature importance comparison"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portance" descr="Feature importance comparison" title="Feature Importance"/>
                    <pic:cNvPicPr>
                      <a:picLocks noChangeAspect="1" noChangeArrowheads="1"/>
                    </pic:cNvPicPr>
                  </pic:nvPicPr>
                  <pic:blipFill>
                    <a:blip r:embed="rId8"/>
                    <a:srcRect/>
                    <a:stretch>
                      <a:fillRect/>
                    </a:stretch>
                  </pic:blipFill>
                  <pic:spPr>
                    <a:xfrm>
                      <a:off x="0" y="0"/>
                      <a:ext cx="4953000" cy="1714500"/>
                    </a:xfrm>
                    <a:prstGeom prst="rect">
                      <a:avLst/>
                    </a:prstGeom>
                  </pic:spPr>
                </pic:pic>
              </a:graphicData>
            </a:graphic>
          </wp:inline>
        </w:drawing>
      </w:r>
    </w:p>
    <w:p w14:paraId="641EF2E9">
      <w:pPr>
        <w:spacing w:after="200"/>
        <w:jc w:val="center"/>
      </w:pPr>
      <w:r>
        <w:rPr>
          <w:rFonts w:ascii="Arial" w:hAnsi="Arial" w:eastAsia="Arial" w:cs="Arial"/>
          <w:i/>
          <w:iCs/>
          <w:sz w:val="20"/>
          <w:szCs w:val="20"/>
        </w:rPr>
        <w:t>Figure 3: Permutation feature importance comparison across three models</w:t>
      </w:r>
    </w:p>
    <w:p w14:paraId="6EDC1A3B">
      <w:pPr>
        <w:pStyle w:val="3"/>
      </w:pPr>
      <w:r>
        <w:t>3.5 Hyperparameter Tuning Results</w:t>
      </w:r>
    </w:p>
    <w:p w14:paraId="2F1E9AC8">
      <w:pPr>
        <w:spacing w:after="100"/>
        <w:jc w:val="center"/>
      </w:pPr>
      <w:r>
        <w:drawing>
          <wp:inline distT="0" distB="0" distL="0" distR="0">
            <wp:extent cx="4953000" cy="1905000"/>
            <wp:effectExtent l="0" t="0" r="0" b="0"/>
            <wp:docPr id="4" name="tuning" descr="Hyperparameter tuning comparison" title="Tun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uning" descr="Hyperparameter tuning comparison" title="Tuning Comparison"/>
                    <pic:cNvPicPr>
                      <a:picLocks noChangeAspect="1" noChangeArrowheads="1"/>
                    </pic:cNvPicPr>
                  </pic:nvPicPr>
                  <pic:blipFill>
                    <a:blip r:embed="rId9"/>
                    <a:srcRect/>
                    <a:stretch>
                      <a:fillRect/>
                    </a:stretch>
                  </pic:blipFill>
                  <pic:spPr>
                    <a:xfrm>
                      <a:off x="0" y="0"/>
                      <a:ext cx="4953000" cy="1905000"/>
                    </a:xfrm>
                    <a:prstGeom prst="rect">
                      <a:avLst/>
                    </a:prstGeom>
                  </pic:spPr>
                </pic:pic>
              </a:graphicData>
            </a:graphic>
          </wp:inline>
        </w:drawing>
      </w:r>
    </w:p>
    <w:p w14:paraId="710192DC">
      <w:pPr>
        <w:spacing w:after="100"/>
        <w:jc w:val="center"/>
      </w:pPr>
      <w:r>
        <w:rPr>
          <w:rFonts w:ascii="Arial" w:hAnsi="Arial" w:eastAsia="Arial" w:cs="Arial"/>
          <w:i/>
          <w:iCs/>
          <w:sz w:val="20"/>
          <w:szCs w:val="20"/>
        </w:rPr>
        <w:t>Figure 4: Hyperparameter tuning comparison (Default vs Tuned)</w:t>
      </w:r>
    </w:p>
    <w:p w14:paraId="41DD0291">
      <w:pPr>
        <w:spacing w:before="200" w:after="100"/>
      </w:pPr>
      <w:r>
        <w:rPr>
          <w:rFonts w:ascii="Arial" w:hAnsi="Arial" w:eastAsia="Arial" w:cs="Arial"/>
          <w:b/>
          <w:bCs/>
          <w:sz w:val="22"/>
          <w:szCs w:val="22"/>
        </w:rPr>
        <w:t>Table 3: Hyperparameter Tuning Summary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9"/>
        <w:gridCol w:w="2271"/>
        <w:gridCol w:w="2254"/>
        <w:gridCol w:w="2262"/>
      </w:tblGrid>
      <w:tr w14:paraId="2986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E6E6E6"/>
          </w:tcPr>
          <w:p w14:paraId="5360159C">
            <w:pPr>
              <w:jc w:val="center"/>
            </w:pPr>
            <w:r>
              <w:rPr>
                <w:rFonts w:ascii="Arial" w:hAnsi="Arial" w:eastAsia="Arial" w:cs="Arial"/>
                <w:b/>
                <w:bCs/>
                <w:sz w:val="22"/>
                <w:szCs w:val="22"/>
              </w:rPr>
              <w:t>Model</w:t>
            </w:r>
          </w:p>
        </w:tc>
        <w:tc>
          <w:tcPr>
            <w:tcW w:w="2340" w:type="dxa"/>
            <w:tcBorders>
              <w:top w:val="single" w:color="CCCCCC" w:sz="0" w:space="0"/>
              <w:left w:val="single" w:color="CCCCCC" w:sz="0" w:space="0"/>
              <w:bottom w:val="single" w:color="CCCCCC" w:sz="0" w:space="0"/>
              <w:right w:val="single" w:color="CCCCCC" w:sz="0" w:space="0"/>
            </w:tcBorders>
            <w:shd w:val="clear" w:color="auto" w:fill="E6E6E6"/>
          </w:tcPr>
          <w:p w14:paraId="283BEAF7">
            <w:pPr>
              <w:jc w:val="center"/>
            </w:pPr>
            <w:r>
              <w:rPr>
                <w:rFonts w:ascii="Arial" w:hAnsi="Arial" w:eastAsia="Arial" w:cs="Arial"/>
                <w:b/>
                <w:bCs/>
                <w:sz w:val="22"/>
                <w:szCs w:val="22"/>
              </w:rPr>
              <w:t>Validation</w:t>
            </w:r>
          </w:p>
        </w:tc>
        <w:tc>
          <w:tcPr>
            <w:tcW w:w="2340" w:type="dxa"/>
            <w:tcBorders>
              <w:top w:val="single" w:color="CCCCCC" w:sz="0" w:space="0"/>
              <w:left w:val="single" w:color="CCCCCC" w:sz="0" w:space="0"/>
              <w:bottom w:val="single" w:color="CCCCCC" w:sz="0" w:space="0"/>
              <w:right w:val="single" w:color="CCCCCC" w:sz="0" w:space="0"/>
            </w:tcBorders>
            <w:shd w:val="clear" w:color="auto" w:fill="E6E6E6"/>
          </w:tcPr>
          <w:p w14:paraId="29A6B404">
            <w:pPr>
              <w:jc w:val="center"/>
            </w:pPr>
            <w:r>
              <w:rPr>
                <w:rFonts w:ascii="Arial" w:hAnsi="Arial" w:eastAsia="Arial" w:cs="Arial"/>
                <w:b/>
                <w:bCs/>
                <w:sz w:val="22"/>
                <w:szCs w:val="22"/>
              </w:rPr>
              <w:t>Default</w:t>
            </w:r>
          </w:p>
        </w:tc>
        <w:tc>
          <w:tcPr>
            <w:tcW w:w="2340" w:type="dxa"/>
            <w:tcBorders>
              <w:top w:val="single" w:color="CCCCCC" w:sz="0" w:space="0"/>
              <w:left w:val="single" w:color="CCCCCC" w:sz="0" w:space="0"/>
              <w:bottom w:val="single" w:color="CCCCCC" w:sz="0" w:space="0"/>
              <w:right w:val="single" w:color="CCCCCC" w:sz="0" w:space="0"/>
            </w:tcBorders>
            <w:shd w:val="clear" w:color="auto" w:fill="E6E6E6"/>
          </w:tcPr>
          <w:p w14:paraId="34843B9D">
            <w:pPr>
              <w:jc w:val="center"/>
            </w:pPr>
            <w:r>
              <w:rPr>
                <w:rFonts w:ascii="Arial" w:hAnsi="Arial" w:eastAsia="Arial" w:cs="Arial"/>
                <w:b/>
                <w:bCs/>
                <w:sz w:val="22"/>
                <w:szCs w:val="22"/>
              </w:rPr>
              <w:t>Tuned</w:t>
            </w:r>
          </w:p>
        </w:tc>
      </w:tr>
      <w:tr w14:paraId="59183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32144624">
            <w:pPr>
              <w:jc w:val="left"/>
            </w:pPr>
            <w:r>
              <w:rPr>
                <w:rFonts w:ascii="Arial" w:hAnsi="Arial" w:eastAsia="Arial" w:cs="Arial"/>
                <w:sz w:val="22"/>
                <w:szCs w:val="22"/>
              </w:rPr>
              <w:t>Random Forest</w:t>
            </w:r>
          </w:p>
        </w:tc>
        <w:tc>
          <w:tcPr>
            <w:tcW w:w="2340" w:type="dxa"/>
            <w:tcBorders>
              <w:top w:val="single" w:color="CCCCCC" w:sz="0" w:space="0"/>
              <w:left w:val="single" w:color="CCCCCC" w:sz="0" w:space="0"/>
              <w:bottom w:val="single" w:color="CCCCCC" w:sz="0" w:space="0"/>
              <w:right w:val="single" w:color="CCCCCC" w:sz="0" w:space="0"/>
            </w:tcBorders>
          </w:tcPr>
          <w:p w14:paraId="673651E5">
            <w:pPr>
              <w:jc w:val="center"/>
            </w:pPr>
            <w:r>
              <w:rPr>
                <w:rFonts w:ascii="Arial" w:hAnsi="Arial" w:eastAsia="Arial" w:cs="Arial"/>
                <w:sz w:val="22"/>
                <w:szCs w:val="22"/>
              </w:rPr>
              <w:t>Beat Holdout</w:t>
            </w:r>
          </w:p>
        </w:tc>
        <w:tc>
          <w:tcPr>
            <w:tcW w:w="2340" w:type="dxa"/>
            <w:tcBorders>
              <w:top w:val="single" w:color="CCCCCC" w:sz="0" w:space="0"/>
              <w:left w:val="single" w:color="CCCCCC" w:sz="0" w:space="0"/>
              <w:bottom w:val="single" w:color="CCCCCC" w:sz="0" w:space="0"/>
              <w:right w:val="single" w:color="CCCCCC" w:sz="0" w:space="0"/>
            </w:tcBorders>
          </w:tcPr>
          <w:p w14:paraId="51F7C8E0">
            <w:pPr>
              <w:jc w:val="center"/>
            </w:pPr>
            <w:r>
              <w:rPr>
                <w:rFonts w:ascii="Arial" w:hAnsi="Arial" w:eastAsia="Arial" w:cs="Arial"/>
                <w:sz w:val="22"/>
                <w:szCs w:val="22"/>
              </w:rPr>
              <w:t>96.62%</w:t>
            </w:r>
          </w:p>
        </w:tc>
        <w:tc>
          <w:tcPr>
            <w:tcW w:w="2340" w:type="dxa"/>
            <w:tcBorders>
              <w:top w:val="single" w:color="CCCCCC" w:sz="0" w:space="0"/>
              <w:left w:val="single" w:color="CCCCCC" w:sz="0" w:space="0"/>
              <w:bottom w:val="single" w:color="CCCCCC" w:sz="0" w:space="0"/>
              <w:right w:val="single" w:color="CCCCCC" w:sz="0" w:space="0"/>
            </w:tcBorders>
          </w:tcPr>
          <w:p w14:paraId="7D5A1604">
            <w:pPr>
              <w:jc w:val="center"/>
            </w:pPr>
            <w:r>
              <w:rPr>
                <w:rFonts w:ascii="Arial" w:hAnsi="Arial" w:eastAsia="Arial" w:cs="Arial"/>
                <w:sz w:val="22"/>
                <w:szCs w:val="22"/>
              </w:rPr>
              <w:t>96.91% (+0.29%)</w:t>
            </w:r>
          </w:p>
        </w:tc>
      </w:tr>
      <w:tr w14:paraId="1AC84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465FB419">
            <w:pPr>
              <w:jc w:val="left"/>
            </w:pPr>
            <w:r>
              <w:rPr>
                <w:rFonts w:ascii="Arial" w:hAnsi="Arial" w:eastAsia="Arial" w:cs="Arial"/>
                <w:sz w:val="22"/>
                <w:szCs w:val="22"/>
              </w:rPr>
              <w:t>Random Forest</w:t>
            </w:r>
          </w:p>
        </w:tc>
        <w:tc>
          <w:tcPr>
            <w:tcW w:w="2340" w:type="dxa"/>
            <w:tcBorders>
              <w:top w:val="single" w:color="CCCCCC" w:sz="0" w:space="0"/>
              <w:left w:val="single" w:color="CCCCCC" w:sz="0" w:space="0"/>
              <w:bottom w:val="single" w:color="CCCCCC" w:sz="0" w:space="0"/>
              <w:right w:val="single" w:color="CCCCCC" w:sz="0" w:space="0"/>
            </w:tcBorders>
          </w:tcPr>
          <w:p w14:paraId="39B93BC0">
            <w:pPr>
              <w:jc w:val="center"/>
            </w:pPr>
            <w:r>
              <w:rPr>
                <w:rFonts w:ascii="Arial" w:hAnsi="Arial" w:eastAsia="Arial" w:cs="Arial"/>
                <w:sz w:val="22"/>
                <w:szCs w:val="22"/>
              </w:rPr>
              <w:t>Patient Holdout</w:t>
            </w:r>
          </w:p>
        </w:tc>
        <w:tc>
          <w:tcPr>
            <w:tcW w:w="2340" w:type="dxa"/>
            <w:tcBorders>
              <w:top w:val="single" w:color="CCCCCC" w:sz="0" w:space="0"/>
              <w:left w:val="single" w:color="CCCCCC" w:sz="0" w:space="0"/>
              <w:bottom w:val="single" w:color="CCCCCC" w:sz="0" w:space="0"/>
              <w:right w:val="single" w:color="CCCCCC" w:sz="0" w:space="0"/>
            </w:tcBorders>
          </w:tcPr>
          <w:p w14:paraId="50233C3E">
            <w:pPr>
              <w:jc w:val="center"/>
            </w:pPr>
            <w:r>
              <w:rPr>
                <w:rFonts w:ascii="Arial" w:hAnsi="Arial" w:eastAsia="Arial" w:cs="Arial"/>
                <w:sz w:val="22"/>
                <w:szCs w:val="22"/>
              </w:rPr>
              <w:t>99.79%</w:t>
            </w:r>
          </w:p>
        </w:tc>
        <w:tc>
          <w:tcPr>
            <w:tcW w:w="2340" w:type="dxa"/>
            <w:tcBorders>
              <w:top w:val="single" w:color="CCCCCC" w:sz="0" w:space="0"/>
              <w:left w:val="single" w:color="CCCCCC" w:sz="0" w:space="0"/>
              <w:bottom w:val="single" w:color="CCCCCC" w:sz="0" w:space="0"/>
              <w:right w:val="single" w:color="CCCCCC" w:sz="0" w:space="0"/>
            </w:tcBorders>
          </w:tcPr>
          <w:p w14:paraId="327F86B9">
            <w:pPr>
              <w:jc w:val="center"/>
            </w:pPr>
            <w:r>
              <w:rPr>
                <w:rFonts w:ascii="Arial" w:hAnsi="Arial" w:eastAsia="Arial" w:cs="Arial"/>
                <w:sz w:val="22"/>
                <w:szCs w:val="22"/>
              </w:rPr>
              <w:t>99.88% (+0.09%)</w:t>
            </w:r>
          </w:p>
        </w:tc>
      </w:tr>
      <w:tr w14:paraId="1C82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74596861">
            <w:pPr>
              <w:jc w:val="left"/>
            </w:pPr>
            <w:r>
              <w:rPr>
                <w:rFonts w:ascii="Arial" w:hAnsi="Arial" w:eastAsia="Arial" w:cs="Arial"/>
                <w:sz w:val="22"/>
                <w:szCs w:val="22"/>
              </w:rPr>
              <w:t>MLP</w:t>
            </w:r>
          </w:p>
        </w:tc>
        <w:tc>
          <w:tcPr>
            <w:tcW w:w="2340" w:type="dxa"/>
            <w:tcBorders>
              <w:top w:val="single" w:color="CCCCCC" w:sz="0" w:space="0"/>
              <w:left w:val="single" w:color="CCCCCC" w:sz="0" w:space="0"/>
              <w:bottom w:val="single" w:color="CCCCCC" w:sz="0" w:space="0"/>
              <w:right w:val="single" w:color="CCCCCC" w:sz="0" w:space="0"/>
            </w:tcBorders>
          </w:tcPr>
          <w:p w14:paraId="24BF826B">
            <w:pPr>
              <w:jc w:val="center"/>
            </w:pPr>
            <w:r>
              <w:rPr>
                <w:rFonts w:ascii="Arial" w:hAnsi="Arial" w:eastAsia="Arial" w:cs="Arial"/>
                <w:sz w:val="22"/>
                <w:szCs w:val="22"/>
              </w:rPr>
              <w:t>Beat Holdout</w:t>
            </w:r>
          </w:p>
        </w:tc>
        <w:tc>
          <w:tcPr>
            <w:tcW w:w="2340" w:type="dxa"/>
            <w:tcBorders>
              <w:top w:val="single" w:color="CCCCCC" w:sz="0" w:space="0"/>
              <w:left w:val="single" w:color="CCCCCC" w:sz="0" w:space="0"/>
              <w:bottom w:val="single" w:color="CCCCCC" w:sz="0" w:space="0"/>
              <w:right w:val="single" w:color="CCCCCC" w:sz="0" w:space="0"/>
            </w:tcBorders>
          </w:tcPr>
          <w:p w14:paraId="49DF409F">
            <w:pPr>
              <w:jc w:val="center"/>
            </w:pPr>
            <w:r>
              <w:rPr>
                <w:rFonts w:ascii="Arial" w:hAnsi="Arial" w:eastAsia="Arial" w:cs="Arial"/>
                <w:sz w:val="22"/>
                <w:szCs w:val="22"/>
              </w:rPr>
              <w:t>94.65%</w:t>
            </w:r>
          </w:p>
        </w:tc>
        <w:tc>
          <w:tcPr>
            <w:tcW w:w="2340" w:type="dxa"/>
            <w:tcBorders>
              <w:top w:val="single" w:color="CCCCCC" w:sz="0" w:space="0"/>
              <w:left w:val="single" w:color="CCCCCC" w:sz="0" w:space="0"/>
              <w:bottom w:val="single" w:color="CCCCCC" w:sz="0" w:space="0"/>
              <w:right w:val="single" w:color="CCCCCC" w:sz="0" w:space="0"/>
            </w:tcBorders>
          </w:tcPr>
          <w:p w14:paraId="07691B35">
            <w:pPr>
              <w:jc w:val="center"/>
            </w:pPr>
            <w:r>
              <w:rPr>
                <w:rFonts w:ascii="Arial" w:hAnsi="Arial" w:eastAsia="Arial" w:cs="Arial"/>
                <w:sz w:val="22"/>
                <w:szCs w:val="22"/>
              </w:rPr>
              <w:t>96.05% (+1.40%)</w:t>
            </w:r>
          </w:p>
        </w:tc>
      </w:tr>
      <w:tr w14:paraId="1BAD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Pr>
          <w:p w14:paraId="216D6A90">
            <w:pPr>
              <w:jc w:val="left"/>
            </w:pPr>
            <w:r>
              <w:rPr>
                <w:rFonts w:ascii="Arial" w:hAnsi="Arial" w:eastAsia="Arial" w:cs="Arial"/>
                <w:sz w:val="22"/>
                <w:szCs w:val="22"/>
              </w:rPr>
              <w:t>MLP</w:t>
            </w:r>
          </w:p>
        </w:tc>
        <w:tc>
          <w:tcPr>
            <w:tcW w:w="2340" w:type="dxa"/>
            <w:tcBorders>
              <w:top w:val="single" w:color="CCCCCC" w:sz="0" w:space="0"/>
              <w:left w:val="single" w:color="CCCCCC" w:sz="0" w:space="0"/>
              <w:bottom w:val="single" w:color="CCCCCC" w:sz="0" w:space="0"/>
              <w:right w:val="single" w:color="CCCCCC" w:sz="0" w:space="0"/>
            </w:tcBorders>
          </w:tcPr>
          <w:p w14:paraId="639362CC">
            <w:pPr>
              <w:jc w:val="center"/>
            </w:pPr>
            <w:r>
              <w:rPr>
                <w:rFonts w:ascii="Arial" w:hAnsi="Arial" w:eastAsia="Arial" w:cs="Arial"/>
                <w:sz w:val="22"/>
                <w:szCs w:val="22"/>
              </w:rPr>
              <w:t>Patient Holdout</w:t>
            </w:r>
          </w:p>
        </w:tc>
        <w:tc>
          <w:tcPr>
            <w:tcW w:w="2340" w:type="dxa"/>
            <w:tcBorders>
              <w:top w:val="single" w:color="CCCCCC" w:sz="0" w:space="0"/>
              <w:left w:val="single" w:color="CCCCCC" w:sz="0" w:space="0"/>
              <w:bottom w:val="single" w:color="CCCCCC" w:sz="0" w:space="0"/>
              <w:right w:val="single" w:color="CCCCCC" w:sz="0" w:space="0"/>
            </w:tcBorders>
          </w:tcPr>
          <w:p w14:paraId="04348FF1">
            <w:pPr>
              <w:jc w:val="center"/>
            </w:pPr>
            <w:r>
              <w:rPr>
                <w:rFonts w:ascii="Arial" w:hAnsi="Arial" w:eastAsia="Arial" w:cs="Arial"/>
                <w:sz w:val="22"/>
                <w:szCs w:val="22"/>
              </w:rPr>
              <w:t>99.19%</w:t>
            </w:r>
          </w:p>
        </w:tc>
        <w:tc>
          <w:tcPr>
            <w:tcW w:w="2340" w:type="dxa"/>
            <w:tcBorders>
              <w:top w:val="single" w:color="CCCCCC" w:sz="0" w:space="0"/>
              <w:left w:val="single" w:color="CCCCCC" w:sz="0" w:space="0"/>
              <w:bottom w:val="single" w:color="CCCCCC" w:sz="0" w:space="0"/>
              <w:right w:val="single" w:color="CCCCCC" w:sz="0" w:space="0"/>
            </w:tcBorders>
          </w:tcPr>
          <w:p w14:paraId="38579570">
            <w:pPr>
              <w:jc w:val="center"/>
            </w:pPr>
            <w:r>
              <w:rPr>
                <w:rFonts w:ascii="Arial" w:hAnsi="Arial" w:eastAsia="Arial" w:cs="Arial"/>
                <w:sz w:val="22"/>
                <w:szCs w:val="22"/>
              </w:rPr>
              <w:t>99.03% (-0.16%)</w:t>
            </w:r>
          </w:p>
        </w:tc>
      </w:tr>
    </w:tbl>
    <w:p w14:paraId="66A6A889">
      <w:pPr>
        <w:spacing w:after="200"/>
      </w:pPr>
    </w:p>
    <w:p w14:paraId="54E848E3">
      <w:pPr>
        <w:pStyle w:val="2"/>
      </w:pPr>
      <w:r>
        <w:t>Discussion</w:t>
      </w:r>
    </w:p>
    <w:p w14:paraId="2FB649EA">
      <w:pPr>
        <w:pStyle w:val="14"/>
        <w:numPr>
          <w:ilvl w:val="0"/>
          <w:numId w:val="5"/>
        </w:numPr>
      </w:pPr>
      <w:r>
        <w:rPr>
          <w:rFonts w:ascii="Arial" w:hAnsi="Arial" w:eastAsia="Arial" w:cs="Arial"/>
          <w:b/>
          <w:bCs/>
          <w:sz w:val="24"/>
          <w:szCs w:val="24"/>
        </w:rPr>
        <w:t xml:space="preserve">Model Performance: </w:t>
      </w:r>
      <w:r>
        <w:rPr>
          <w:rFonts w:ascii="Arial" w:hAnsi="Arial" w:eastAsia="Arial" w:cs="Arial"/>
          <w:sz w:val="24"/>
          <w:szCs w:val="24"/>
        </w:rPr>
        <w:t>Random Forest achieves the best performance with 99.88% accuracy on Patient Holdout after tuning. This is because ensemble methods reduce variance by averaging multiple decision trees, making the model robust against overfitting.</w:t>
      </w:r>
    </w:p>
    <w:p w14:paraId="3CB7293C">
      <w:pPr>
        <w:pStyle w:val="14"/>
        <w:numPr>
          <w:ilvl w:val="0"/>
          <w:numId w:val="5"/>
        </w:numPr>
      </w:pPr>
      <w:r>
        <w:rPr>
          <w:rFonts w:ascii="Arial" w:hAnsi="Arial" w:eastAsia="Arial" w:cs="Arial"/>
          <w:b/>
          <w:bCs/>
          <w:sz w:val="24"/>
          <w:szCs w:val="24"/>
        </w:rPr>
        <w:t xml:space="preserve">Validation Strategy: </w:t>
      </w:r>
      <w:r>
        <w:rPr>
          <w:rFonts w:ascii="Arial" w:hAnsi="Arial" w:eastAsia="Arial" w:cs="Arial"/>
          <w:sz w:val="24"/>
          <w:szCs w:val="24"/>
        </w:rPr>
        <w:t>Patient Holdout consistently outperforms Beat Holdout (2-5% higher). Beat Holdout suffers from data leakage because beats from the same patient share similar morphological characteristics (electrode placement, pre-existing conditions), appearing in both training and testing sets.</w:t>
      </w:r>
    </w:p>
    <w:p w14:paraId="3F4F7021">
      <w:pPr>
        <w:pStyle w:val="14"/>
        <w:numPr>
          <w:ilvl w:val="0"/>
          <w:numId w:val="5"/>
        </w:numPr>
      </w:pPr>
      <w:r>
        <w:rPr>
          <w:rFonts w:ascii="Arial" w:hAnsi="Arial" w:eastAsia="Arial" w:cs="Arial"/>
          <w:b/>
          <w:bCs/>
          <w:sz w:val="24"/>
          <w:szCs w:val="24"/>
        </w:rPr>
        <w:t xml:space="preserve">Feature Importance Analysis: </w:t>
      </w:r>
      <w:r>
        <w:rPr>
          <w:rFonts w:ascii="Arial" w:hAnsi="Arial" w:eastAsia="Arial" w:cs="Arial"/>
          <w:sz w:val="24"/>
          <w:szCs w:val="24"/>
        </w:rPr>
        <w:t>All three models identify slice 125-150 (time points around the R-peak) as the most important region, with importance scores around 0.40. This corresponds to the QRS complex in ECG signals, which represents ventricular depolarization and is clinically the most distinctive feature for arrhythmia classification. SVM shows the highest sensitivity to this region, while Random Forest distributes importance more evenly across slices.</w:t>
      </w:r>
    </w:p>
    <w:p w14:paraId="56009DB8">
      <w:pPr>
        <w:pStyle w:val="14"/>
        <w:numPr>
          <w:ilvl w:val="0"/>
          <w:numId w:val="5"/>
        </w:numPr>
      </w:pPr>
      <w:r>
        <w:rPr>
          <w:rFonts w:ascii="Arial" w:hAnsi="Arial" w:eastAsia="Arial" w:cs="Arial"/>
          <w:b/>
          <w:bCs/>
          <w:sz w:val="24"/>
          <w:szCs w:val="24"/>
        </w:rPr>
        <w:t xml:space="preserve">Hyperparameter Tuning: </w:t>
      </w:r>
      <w:r>
        <w:rPr>
          <w:rFonts w:ascii="Arial" w:hAnsi="Arial" w:eastAsia="Arial" w:cs="Arial"/>
          <w:sz w:val="24"/>
          <w:szCs w:val="24"/>
        </w:rPr>
        <w:t>MLP shows significant improvement (+1.40%) on Beat Holdout with larger architecture (256,128), but slight degradation (-0.16%) on Patient Holdout, suggesting overfitting to patient-specific patterns. Random Forest shows stable improvement across both validation strategies.</w:t>
      </w:r>
    </w:p>
    <w:p w14:paraId="6AD2557A">
      <w:pPr>
        <w:spacing w:before="200" w:after="200"/>
      </w:pPr>
      <w:r>
        <w:rPr>
          <w:rFonts w:ascii="Arial" w:hAnsi="Arial" w:eastAsia="Arial" w:cs="Arial"/>
          <w:b/>
          <w:bCs/>
          <w:sz w:val="24"/>
          <w:szCs w:val="24"/>
        </w:rPr>
        <w:t xml:space="preserve">Conclusion: </w:t>
      </w:r>
      <w:r>
        <w:rPr>
          <w:rFonts w:ascii="Arial" w:hAnsi="Arial" w:eastAsia="Arial" w:cs="Arial"/>
          <w:sz w:val="24"/>
          <w:szCs w:val="24"/>
        </w:rPr>
        <w:t>Random Forest with Patient Holdout validation is recommended for clinical ECG arrhythmia detection due to its superior accuracy, stable performance, and robust generalization to unseen patients. The permutation feature importance analysis confirms that the models correctly focus on the QRS complex region, which aligns with clinical knowledge.</w:t>
      </w:r>
    </w:p>
    <w:sectPr>
      <w:headerReference r:id="rId3" w:type="default"/>
      <w:footerReference r:id="rId4" w:type="default"/>
      <w:pgSz w:w="11906" w:h="16838"/>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C4A96">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24FF74">
                          <w:pPr>
                            <w:jc w:val="center"/>
                          </w:pPr>
                          <w:r>
                            <w:rPr>
                              <w:rFonts w:ascii="Arial" w:hAnsi="Arial" w:eastAsia="Arial" w:cs="Arial"/>
                              <w:sz w:val="20"/>
                              <w:szCs w:val="20"/>
                            </w:rPr>
                            <w:t xml:space="preserve">Page </w:t>
                          </w: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fldChar w:fldCharType="end"/>
                          </w:r>
                          <w:r>
                            <w:rPr>
                              <w:rFonts w:ascii="Arial" w:hAnsi="Arial" w:eastAsia="Arial" w:cs="Arial"/>
                              <w:sz w:val="20"/>
                              <w:szCs w:val="20"/>
                            </w:rPr>
                            <w:t xml:space="preserve"> of </w:t>
                          </w:r>
                          <w:r>
                            <w:rPr>
                              <w:rFonts w:ascii="Arial" w:hAnsi="Arial" w:eastAsia="Arial" w:cs="Arial"/>
                              <w:sz w:val="20"/>
                              <w:szCs w:val="20"/>
                            </w:rPr>
                            <w:fldChar w:fldCharType="begin"/>
                          </w:r>
                          <w:r>
                            <w:rPr>
                              <w:rFonts w:ascii="Arial" w:hAnsi="Arial" w:eastAsia="Arial" w:cs="Arial"/>
                              <w:sz w:val="20"/>
                              <w:szCs w:val="20"/>
                            </w:rPr>
                            <w:instrText xml:space="preserve">NUMPAGES</w:instrText>
                          </w:r>
                          <w:r>
                            <w:rPr>
                              <w:rFonts w:ascii="Arial" w:hAnsi="Arial" w:eastAsia="Arial" w:cs="Arial"/>
                              <w:sz w:val="20"/>
                              <w:szCs w:val="20"/>
                            </w:rPr>
                            <w:fldChar w:fldCharType="separate"/>
                          </w:r>
                          <w:r>
                            <w:rPr>
                              <w:rFonts w:ascii="Arial" w:hAnsi="Arial" w:eastAsia="Arial" w:cs="Arial"/>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3924FF74">
                    <w:pPr>
                      <w:jc w:val="center"/>
                    </w:pPr>
                    <w:r>
                      <w:rPr>
                        <w:rFonts w:ascii="Arial" w:hAnsi="Arial" w:eastAsia="Arial" w:cs="Arial"/>
                        <w:sz w:val="20"/>
                        <w:szCs w:val="20"/>
                      </w:rPr>
                      <w:t xml:space="preserve">Page </w:t>
                    </w: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fldChar w:fldCharType="end"/>
                    </w:r>
                    <w:r>
                      <w:rPr>
                        <w:rFonts w:ascii="Arial" w:hAnsi="Arial" w:eastAsia="Arial" w:cs="Arial"/>
                        <w:sz w:val="20"/>
                        <w:szCs w:val="20"/>
                      </w:rPr>
                      <w:t xml:space="preserve"> of </w:t>
                    </w:r>
                    <w:r>
                      <w:rPr>
                        <w:rFonts w:ascii="Arial" w:hAnsi="Arial" w:eastAsia="Arial" w:cs="Arial"/>
                        <w:sz w:val="20"/>
                        <w:szCs w:val="20"/>
                      </w:rPr>
                      <w:fldChar w:fldCharType="begin"/>
                    </w:r>
                    <w:r>
                      <w:rPr>
                        <w:rFonts w:ascii="Arial" w:hAnsi="Arial" w:eastAsia="Arial" w:cs="Arial"/>
                        <w:sz w:val="20"/>
                        <w:szCs w:val="20"/>
                      </w:rPr>
                      <w:instrText xml:space="preserve">NUMPAGES</w:instrText>
                    </w:r>
                    <w:r>
                      <w:rPr>
                        <w:rFonts w:ascii="Arial" w:hAnsi="Arial" w:eastAsia="Arial" w:cs="Arial"/>
                        <w:sz w:val="20"/>
                        <w:szCs w:val="20"/>
                      </w:rPr>
                      <w:fldChar w:fldCharType="separate"/>
                    </w:r>
                    <w:r>
                      <w:rPr>
                        <w:rFonts w:ascii="Arial" w:hAnsi="Arial" w:eastAsia="Arial" w:cs="Arial"/>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622C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44F623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000000"/>
      <w:sz w:val="32"/>
      <w:szCs w:val="32"/>
    </w:rPr>
  </w:style>
  <w:style w:type="paragraph" w:styleId="3">
    <w:name w:val="heading 2"/>
    <w:next w:val="1"/>
    <w:qFormat/>
    <w:uiPriority w:val="0"/>
    <w:pPr>
      <w:spacing w:before="280" w:after="160"/>
      <w:outlineLvl w:val="1"/>
    </w:pPr>
    <w:rPr>
      <w:rFonts w:ascii="Arial" w:hAnsi="Arial" w:eastAsia="Arial" w:cs="Arial"/>
      <w:b/>
      <w:bCs/>
      <w:color w:val="333333"/>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Arial" w:hAnsi="Arial" w:eastAsia="Arial" w:cs="Arial"/>
      <w:sz w:val="20"/>
      <w:szCs w:val="20"/>
    </w:rPr>
  </w:style>
  <w:style w:type="paragraph" w:styleId="9">
    <w:name w:val="Title"/>
    <w:uiPriority w:val="0"/>
    <w:pPr>
      <w:spacing w:before="240" w:after="120"/>
      <w:jc w:val="center"/>
    </w:pPr>
    <w:rPr>
      <w:rFonts w:ascii="Arial" w:hAnsi="Arial" w:eastAsia="Arial" w:cs="Arial"/>
      <w:b/>
      <w:bCs/>
      <w:color w:val="000000"/>
      <w:sz w:val="48"/>
      <w:szCs w:val="48"/>
    </w:rPr>
  </w:style>
  <w:style w:type="character" w:styleId="12">
    <w:name w:val="Hyperlink"/>
    <w:unhideWhenUsed/>
    <w:qFormat/>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webp"/><Relationship Id="rId8" Type="http://schemas.openxmlformats.org/officeDocument/2006/relationships/image" Target="media/image3.webp"/><Relationship Id="rId7" Type="http://schemas.openxmlformats.org/officeDocument/2006/relationships/image" Target="media/image2.webp"/><Relationship Id="rId6" Type="http://schemas.openxmlformats.org/officeDocument/2006/relationships/image" Target="media/image1.webp"/><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813</Words>
  <Characters>5246</Characters>
  <TotalTime>7</TotalTime>
  <ScaleCrop>false</ScaleCrop>
  <LinksUpToDate>false</LinksUpToDate>
  <CharactersWithSpaces>5952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2025-11-23T23:28:00Z</dcterms:created>
  <dc:creator>Un-named</dc:creator>
  <cp:lastModifiedBy>洛辰丶</cp:lastModifiedBy>
  <dcterms:modified xsi:type="dcterms:W3CDTF">2025-11-23T23:38:11Z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eyJoZGlkIjoiYjA3OTYwODZiZDVjNWYwOWNmYThkYTFmZmM1MmQ4OGUiLCJ1c2VySWQiOiIxMDM3MTYzNDU1In0=</vt:lpwstr>
  </property>
  <property fmtid="{D5CDD505-2E9C-101B-9397-08002B2CF9AE}" pid="3" name="KSOProductBuildVer">
    <vt:lpwstr>2052-12.1.0.23542</vt:lpwstr>
  </property>
  <property fmtid="{D5CDD505-2E9C-101B-9397-08002B2CF9AE}" pid="4" name="ICV">
    <vt:lpwstr>1A4800DD349A49D99BED40D52AFB8D47_12</vt:lpwstr>
  </property>
</Properties>
</file>