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PACER — Version 2 Expert Rater Calibration Protocol</w:t>
      </w:r>
    </w:p>
    <w:p>
      <w:pPr>
        <w:jc w:val="center"/>
      </w:pPr>
      <w:r>
        <w:rPr>
          <w:i/>
        </w:rPr>
        <w:t>CAS Human Validation: Calibrated Re-Rating Study</w:t>
      </w:r>
    </w:p>
    <w:p>
      <w:r>
        <w:rPr>
          <w:sz w:val="20"/>
        </w:rPr>
        <w:t>Prepared by: Nitesh Sharma, Shoolini University</w:t>
        <w:br/>
        <w:t>Contact: nitesh.sharma@shoolini.edu.in</w:t>
        <w:br/>
        <w:t>Purpose: Journal submission — Computers &amp; Education: AI / AIED / IP&amp;M</w:t>
        <w:br/>
        <w:t>Date: July 2026</w:t>
      </w:r>
    </w:p>
    <w:p/>
    <w:p>
      <w:pPr>
        <w:pStyle w:val="Heading1"/>
      </w:pPr>
      <w:r>
        <w:t>1. Goal</w:t>
      </w:r>
    </w:p>
    <w:p>
      <w:r>
        <w:t>Establish defensible inter-rater reliability (Krippendorff α ≥ 0.60, ICC(A,k) ≥ 0.50) for the three CAS dimensions across 3–5 trained expert raters. This replaces the uncalibrated teacher panel results reported in the conference version (Version 1), where individual IRR was near zero due to the absence of anchor training and a ceiling effect (98% of pairs scored ≥ 3.5/5.0).</w:t>
      </w:r>
    </w:p>
    <w:p>
      <w:pPr>
        <w:pStyle w:val="IntenseQuote"/>
      </w:pPr>
      <w:r>
        <w:t>Version 1 result: CAS composite mean = 3.84/5.0, 98% High band. Good for content validity. Not sufficient for psychometric reliability claim. Version 2 must fix the reliability claim.</w:t>
      </w:r>
    </w:p>
    <w:p>
      <w:pPr>
        <w:pStyle w:val="Heading1"/>
      </w:pPr>
      <w:r>
        <w:t>2. Rater Recruitment  (3–5 raters needed)</w:t>
      </w:r>
    </w:p>
    <w:p>
      <w:r>
        <w:t>Recruit raters across three complementary roles. The minimum viable set is one rater per role (3 total). The ideal set is 5 raters for a stronger ICC(A,k).</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Role</w:t>
            </w:r>
          </w:p>
        </w:tc>
        <w:tc>
          <w:tcPr>
            <w:tcW w:type="dxa" w:w="2928"/>
          </w:tcPr>
          <w:p>
            <w:r>
              <w:rPr>
                <w:b/>
              </w:rPr>
              <w:t>Required Profile</w:t>
            </w:r>
          </w:p>
        </w:tc>
        <w:tc>
          <w:tcPr>
            <w:tcW w:type="dxa" w:w="2928"/>
          </w:tcPr>
          <w:p>
            <w:r>
              <w:rPr>
                <w:b/>
              </w:rPr>
              <w:t>Count</w:t>
            </w:r>
          </w:p>
        </w:tc>
      </w:tr>
      <w:tr>
        <w:tc>
          <w:tcPr>
            <w:tcW w:type="dxa" w:w="2928"/>
          </w:tcPr>
          <w:p>
            <w:r>
              <w:t>R1 — STEM Expert</w:t>
            </w:r>
          </w:p>
        </w:tc>
        <w:tc>
          <w:tcPr>
            <w:tcW w:type="dxa" w:w="2928"/>
          </w:tcPr>
          <w:p>
            <w:r>
              <w:t>CBSE Math or Science PGT teacher, ≥ 5 years classroom experience, familiar with grades 7–12 NCERT curriculum</w:t>
            </w:r>
          </w:p>
        </w:tc>
        <w:tc>
          <w:tcPr>
            <w:tcW w:type="dxa" w:w="2928"/>
          </w:tcPr>
          <w:p>
            <w:r>
              <w:t>1–2</w:t>
            </w:r>
          </w:p>
        </w:tc>
      </w:tr>
      <w:tr>
        <w:tc>
          <w:tcPr>
            <w:tcW w:type="dxa" w:w="2928"/>
          </w:tcPr>
          <w:p>
            <w:r>
              <w:t>R2 — Pedagogy Expert</w:t>
            </w:r>
          </w:p>
        </w:tc>
        <w:tc>
          <w:tcPr>
            <w:tcW w:type="dxa" w:w="2928"/>
          </w:tcPr>
          <w:p>
            <w:r>
              <w:t>Educational psychologist or curriculum designer, familiar with Bloom's revised taxonomy and learning objectives</w:t>
            </w:r>
          </w:p>
        </w:tc>
        <w:tc>
          <w:tcPr>
            <w:tcW w:type="dxa" w:w="2928"/>
          </w:tcPr>
          <w:p>
            <w:r>
              <w:t>1</w:t>
            </w:r>
          </w:p>
        </w:tc>
      </w:tr>
      <w:tr>
        <w:tc>
          <w:tcPr>
            <w:tcW w:type="dxa" w:w="2928"/>
          </w:tcPr>
          <w:p>
            <w:r>
              <w:t>R3 — CS / AI Faculty</w:t>
            </w:r>
          </w:p>
        </w:tc>
        <w:tc>
          <w:tcPr>
            <w:tcW w:type="dxa" w:w="2928"/>
          </w:tcPr>
          <w:p>
            <w:r>
              <w:t>ML / NLP researcher or professor, familiar with RAG systems and educational AI evaluation</w:t>
            </w:r>
          </w:p>
        </w:tc>
        <w:tc>
          <w:tcPr>
            <w:tcW w:type="dxa" w:w="2928"/>
          </w:tcPr>
          <w:p>
            <w:r>
              <w:t>1–2</w:t>
            </w:r>
          </w:p>
        </w:tc>
      </w:tr>
    </w:tbl>
    <w:p/>
    <w:p>
      <w:r>
        <w:t>Raters must have no prior exposure to the Version 1 teacher panel ratings or the LLM judge scores. All raters must agree to rate independently and not discuss pairs with each other until the independent rating phase is complete.</w:t>
      </w:r>
    </w:p>
    <w:p>
      <w:pPr>
        <w:pStyle w:val="Heading1"/>
      </w:pPr>
      <w:r>
        <w:t>3. Item Sample  (50 pairs — not 150)</w:t>
      </w:r>
    </w:p>
    <w:p>
      <w:r>
        <w:t>Select 50 pairs from the existing 150 to maximise discriminability and reduce rater fatigue. The 150-pair set used in Version 1 produced low IRR partly because 150 items in one session causes fatigue. 50 pairs is achievable in 45–60 minutes with calibration.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Stratum</w:t>
            </w:r>
          </w:p>
        </w:tc>
        <w:tc>
          <w:tcPr>
            <w:tcW w:type="dxa" w:w="2196"/>
          </w:tcPr>
          <w:p>
            <w:r>
              <w:rPr>
                <w:b/>
              </w:rPr>
              <w:t>Count</w:t>
            </w:r>
          </w:p>
        </w:tc>
        <w:tc>
          <w:tcPr>
            <w:tcW w:type="dxa" w:w="2196"/>
          </w:tcPr>
          <w:p>
            <w:r>
              <w:rPr>
                <w:b/>
              </w:rPr>
              <w:t>Selection criterion</w:t>
            </w:r>
          </w:p>
        </w:tc>
        <w:tc>
          <w:tcPr>
            <w:tcW w:type="dxa" w:w="2196"/>
          </w:tcPr>
          <w:p>
            <w:r>
              <w:rPr>
                <w:b/>
              </w:rPr>
              <w:t>Purpose</w:t>
            </w:r>
          </w:p>
        </w:tc>
      </w:tr>
      <w:tr>
        <w:tc>
          <w:tcPr>
            <w:tcW w:type="dxa" w:w="2196"/>
          </w:tcPr>
          <w:p>
            <w:r>
              <w:t>High-variance</w:t>
            </w:r>
          </w:p>
        </w:tc>
        <w:tc>
          <w:tcPr>
            <w:tcW w:type="dxa" w:w="2196"/>
          </w:tcPr>
          <w:p>
            <w:r>
              <w:t>25</w:t>
            </w:r>
          </w:p>
        </w:tc>
        <w:tc>
          <w:tcPr>
            <w:tcW w:type="dxa" w:w="2196"/>
          </w:tcPr>
          <w:p>
            <w:r>
              <w:t>Item SD &gt; 1.2 on any dimension in the Version 1 teacher data</w:t>
            </w:r>
          </w:p>
        </w:tc>
        <w:tc>
          <w:tcPr>
            <w:tcW w:type="dxa" w:w="2196"/>
          </w:tcPr>
          <w:p>
            <w:r>
              <w:t>These are the pairs where teachers genuinely disagreed — most informative for IRR</w:t>
            </w:r>
          </w:p>
        </w:tc>
      </w:tr>
      <w:tr>
        <w:tc>
          <w:tcPr>
            <w:tcW w:type="dxa" w:w="2196"/>
          </w:tcPr>
          <w:p>
            <w:r>
              <w:t>Mid-band</w:t>
            </w:r>
          </w:p>
        </w:tc>
        <w:tc>
          <w:tcPr>
            <w:tcW w:type="dxa" w:w="2196"/>
          </w:tcPr>
          <w:p>
            <w:r>
              <w:t>15</w:t>
            </w:r>
          </w:p>
        </w:tc>
        <w:tc>
          <w:tcPr>
            <w:tcW w:type="dxa" w:w="2196"/>
          </w:tcPr>
          <w:p>
            <w:r>
              <w:t>Version 1 teacher consensus CAS 2.5–3.5</w:t>
            </w:r>
          </w:p>
        </w:tc>
        <w:tc>
          <w:tcPr>
            <w:tcW w:type="dxa" w:w="2196"/>
          </w:tcPr>
          <w:p>
            <w:r>
              <w:t>The discriminating cases; ensures the sample is not all High</w:t>
            </w:r>
          </w:p>
        </w:tc>
      </w:tr>
      <w:tr>
        <w:tc>
          <w:tcPr>
            <w:tcW w:type="dxa" w:w="2196"/>
          </w:tcPr>
          <w:p>
            <w:r>
              <w:t>High-band with spread</w:t>
            </w:r>
          </w:p>
        </w:tc>
        <w:tc>
          <w:tcPr>
            <w:tcW w:type="dxa" w:w="2196"/>
          </w:tcPr>
          <w:p>
            <w:r>
              <w:t>10</w:t>
            </w:r>
          </w:p>
        </w:tc>
        <w:tc>
          <w:tcPr>
            <w:tcW w:type="dxa" w:w="2196"/>
          </w:tcPr>
          <w:p>
            <w:r>
              <w:t>Version 1 teacher mean ≥ 3.5 but item SD &gt; 0.9</w:t>
            </w:r>
          </w:p>
        </w:tc>
        <w:tc>
          <w:tcPr>
            <w:tcW w:type="dxa" w:w="2196"/>
          </w:tcPr>
          <w:p>
            <w:r>
              <w:t>Confirm that high scores are genuine, not just ceiling noise</w:t>
            </w:r>
          </w:p>
        </w:tc>
      </w:tr>
    </w:tbl>
    <w:p>
      <w:pPr>
        <w:pStyle w:val="Heading1"/>
      </w:pPr>
      <w:r>
        <w:t>4. CAS Dimension Rubric  (shared with all raters before rating)</w:t>
      </w:r>
    </w:p>
    <w:p>
      <w:r>
        <w:t>Provide every rater with this rubric before the calibration session. Raters should study it and bring questions to the calibration session.</w:t>
      </w:r>
    </w:p>
    <w:p>
      <w:pPr>
        <w:pStyle w:val="Heading2"/>
      </w:pPr>
      <w:r>
        <w:t>4.1  Grade Match (1–5)</w:t>
      </w:r>
    </w:p>
    <w:p>
      <w:r>
        <w:t>Measures: Does the retrieved chunk's complexity match the grade level implied by the student's query?</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Score</w:t>
            </w:r>
          </w:p>
        </w:tc>
        <w:tc>
          <w:tcPr>
            <w:tcW w:type="dxa" w:w="2928"/>
          </w:tcPr>
          <w:p>
            <w:r>
              <w:rPr>
                <w:b/>
              </w:rPr>
              <w:t>Label</w:t>
            </w:r>
          </w:p>
        </w:tc>
        <w:tc>
          <w:tcPr>
            <w:tcW w:type="dxa" w:w="2928"/>
          </w:tcPr>
          <w:p>
            <w:r>
              <w:rPr>
                <w:b/>
              </w:rPr>
              <w:t>Description</w:t>
            </w:r>
          </w:p>
        </w:tc>
      </w:tr>
      <w:tr>
        <w:tc>
          <w:tcPr>
            <w:tcW w:type="dxa" w:w="2928"/>
          </w:tcPr>
          <w:p>
            <w:r>
              <w:t>1</w:t>
            </w:r>
          </w:p>
        </w:tc>
        <w:tc>
          <w:tcPr>
            <w:tcW w:type="dxa" w:w="2928"/>
          </w:tcPr>
          <w:p>
            <w:r>
              <w:t>No match</w:t>
            </w:r>
          </w:p>
        </w:tc>
        <w:tc>
          <w:tcPr>
            <w:tcW w:type="dxa" w:w="2928"/>
          </w:tcPr>
          <w:p>
            <w:r>
              <w:t>Chunk is clearly from a different grade band (e.g., Grade 12 calculus chunk for a Grade 7 arithmetic query). The student would not understand it at all.</w:t>
            </w:r>
          </w:p>
        </w:tc>
      </w:tr>
      <w:tr>
        <w:tc>
          <w:tcPr>
            <w:tcW w:type="dxa" w:w="2928"/>
          </w:tcPr>
          <w:p>
            <w:r>
              <w:t>2</w:t>
            </w:r>
          </w:p>
        </w:tc>
        <w:tc>
          <w:tcPr>
            <w:tcW w:type="dxa" w:w="2928"/>
          </w:tcPr>
          <w:p>
            <w:r>
              <w:t>Weak match</w:t>
            </w:r>
          </w:p>
        </w:tc>
        <w:tc>
          <w:tcPr>
            <w:tcW w:type="dxa" w:w="2928"/>
          </w:tcPr>
          <w:p>
            <w:r>
              <w:t>Chunk is from an adjacent grade but is notably too advanced or too simple. A typical student at the query's grade level would struggle.</w:t>
            </w:r>
          </w:p>
        </w:tc>
      </w:tr>
      <w:tr>
        <w:tc>
          <w:tcPr>
            <w:tcW w:type="dxa" w:w="2928"/>
          </w:tcPr>
          <w:p>
            <w:r>
              <w:t>3</w:t>
            </w:r>
          </w:p>
        </w:tc>
        <w:tc>
          <w:tcPr>
            <w:tcW w:type="dxa" w:w="2928"/>
          </w:tcPr>
          <w:p>
            <w:r>
              <w:t>Partial match</w:t>
            </w:r>
          </w:p>
        </w:tc>
        <w:tc>
          <w:tcPr>
            <w:tcW w:type="dxa" w:w="2928"/>
          </w:tcPr>
          <w:p>
            <w:r>
              <w:t>Chunk is approximately grade-appropriate but has minor mismatches in vocabulary, notation, or assumed knowledge.</w:t>
            </w:r>
          </w:p>
        </w:tc>
      </w:tr>
      <w:tr>
        <w:tc>
          <w:tcPr>
            <w:tcW w:type="dxa" w:w="2928"/>
          </w:tcPr>
          <w:p>
            <w:r>
              <w:t>4</w:t>
            </w:r>
          </w:p>
        </w:tc>
        <w:tc>
          <w:tcPr>
            <w:tcW w:type="dxa" w:w="2928"/>
          </w:tcPr>
          <w:p>
            <w:r>
              <w:t>Good match</w:t>
            </w:r>
          </w:p>
        </w:tc>
        <w:tc>
          <w:tcPr>
            <w:tcW w:type="dxa" w:w="2928"/>
          </w:tcPr>
          <w:p>
            <w:r>
              <w:t>Chunk is well-matched to the query's grade level. A typical student at that grade would understand it without difficulty.</w:t>
            </w:r>
          </w:p>
        </w:tc>
      </w:tr>
      <w:tr>
        <w:tc>
          <w:tcPr>
            <w:tcW w:type="dxa" w:w="2928"/>
          </w:tcPr>
          <w:p>
            <w:r>
              <w:t>5</w:t>
            </w:r>
          </w:p>
        </w:tc>
        <w:tc>
          <w:tcPr>
            <w:tcW w:type="dxa" w:w="2928"/>
          </w:tcPr>
          <w:p>
            <w:r>
              <w:t>Exact match</w:t>
            </w:r>
          </w:p>
        </w:tc>
        <w:tc>
          <w:tcPr>
            <w:tcW w:type="dxa" w:w="2928"/>
          </w:tcPr>
          <w:p>
            <w:r>
              <w:t>Chunk is perfectly calibrated — the right complexity, terminology, notation, and depth for the query's grade level.</w:t>
            </w:r>
          </w:p>
        </w:tc>
      </w:tr>
    </w:tbl>
    <w:p/>
    <w:p>
      <w:pPr>
        <w:pStyle w:val="Heading2"/>
      </w:pPr>
      <w:r>
        <w:t>4.2  Prerequisite Coverage (1–5)</w:t>
      </w:r>
    </w:p>
    <w:p>
      <w:r>
        <w:t>Measures: Does the chunk assume the right prior knowledge for the student asking the question?</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Score</w:t>
            </w:r>
          </w:p>
        </w:tc>
        <w:tc>
          <w:tcPr>
            <w:tcW w:type="dxa" w:w="2928"/>
          </w:tcPr>
          <w:p>
            <w:r>
              <w:rPr>
                <w:b/>
              </w:rPr>
              <w:t>Label</w:t>
            </w:r>
          </w:p>
        </w:tc>
        <w:tc>
          <w:tcPr>
            <w:tcW w:type="dxa" w:w="2928"/>
          </w:tcPr>
          <w:p>
            <w:r>
              <w:rPr>
                <w:b/>
              </w:rPr>
              <w:t>Description</w:t>
            </w:r>
          </w:p>
        </w:tc>
      </w:tr>
      <w:tr>
        <w:tc>
          <w:tcPr>
            <w:tcW w:type="dxa" w:w="2928"/>
          </w:tcPr>
          <w:p>
            <w:r>
              <w:t>1</w:t>
            </w:r>
          </w:p>
        </w:tc>
        <w:tc>
          <w:tcPr>
            <w:tcW w:type="dxa" w:w="2928"/>
          </w:tcPr>
          <w:p>
            <w:r>
              <w:t>Inaccessible</w:t>
            </w:r>
          </w:p>
        </w:tc>
        <w:tc>
          <w:tcPr>
            <w:tcW w:type="dxa" w:w="2928"/>
          </w:tcPr>
          <w:p>
            <w:r>
              <w:t>Chunk assumes extensive prior knowledge the student at this level would not have. It would be unintelligible without significant background not yet covered.</w:t>
            </w:r>
          </w:p>
        </w:tc>
      </w:tr>
      <w:tr>
        <w:tc>
          <w:tcPr>
            <w:tcW w:type="dxa" w:w="2928"/>
          </w:tcPr>
          <w:p>
            <w:r>
              <w:t>2</w:t>
            </w:r>
          </w:p>
        </w:tc>
        <w:tc>
          <w:tcPr>
            <w:tcW w:type="dxa" w:w="2928"/>
          </w:tcPr>
          <w:p>
            <w:r>
              <w:t>Too demanding</w:t>
            </w:r>
          </w:p>
        </w:tc>
        <w:tc>
          <w:tcPr>
            <w:tcW w:type="dxa" w:w="2928"/>
          </w:tcPr>
          <w:p>
            <w:r>
              <w:t>Chunk assumes significant prerequisites not covered at this grade level. A student would need outside help to make sense of it.</w:t>
            </w:r>
          </w:p>
        </w:tc>
      </w:tr>
      <w:tr>
        <w:tc>
          <w:tcPr>
            <w:tcW w:type="dxa" w:w="2928"/>
          </w:tcPr>
          <w:p>
            <w:r>
              <w:t>3</w:t>
            </w:r>
          </w:p>
        </w:tc>
        <w:tc>
          <w:tcPr>
            <w:tcW w:type="dxa" w:w="2928"/>
          </w:tcPr>
          <w:p>
            <w:r>
              <w:t>Manageable</w:t>
            </w:r>
          </w:p>
        </w:tc>
        <w:tc>
          <w:tcPr>
            <w:tcW w:type="dxa" w:w="2928"/>
          </w:tcPr>
          <w:p>
            <w:r>
              <w:t>Chunk assumes some prerequisites; a typical student at this level might manage with effort or by re-reading earlier sections.</w:t>
            </w:r>
          </w:p>
        </w:tc>
      </w:tr>
      <w:tr>
        <w:tc>
          <w:tcPr>
            <w:tcW w:type="dxa" w:w="2928"/>
          </w:tcPr>
          <w:p>
            <w:r>
              <w:t>4</w:t>
            </w:r>
          </w:p>
        </w:tc>
        <w:tc>
          <w:tcPr>
            <w:tcW w:type="dxa" w:w="2928"/>
          </w:tcPr>
          <w:p>
            <w:r>
              <w:t>Well-scaffolded</w:t>
            </w:r>
          </w:p>
        </w:tc>
        <w:tc>
          <w:tcPr>
            <w:tcW w:type="dxa" w:w="2928"/>
          </w:tcPr>
          <w:p>
            <w:r>
              <w:t>Chunk is appropriately scaffolded for the grade level. Necessary prerequisites are either assumed correctly or briefly reviewed.</w:t>
            </w:r>
          </w:p>
        </w:tc>
      </w:tr>
      <w:tr>
        <w:tc>
          <w:tcPr>
            <w:tcW w:type="dxa" w:w="2928"/>
          </w:tcPr>
          <w:p>
            <w:r>
              <w:t>5</w:t>
            </w:r>
          </w:p>
        </w:tc>
        <w:tc>
          <w:tcPr>
            <w:tcW w:type="dxa" w:w="2928"/>
          </w:tcPr>
          <w:p>
            <w:r>
              <w:t>Self-contained</w:t>
            </w:r>
          </w:p>
        </w:tc>
        <w:tc>
          <w:tcPr>
            <w:tcW w:type="dxa" w:w="2928"/>
          </w:tcPr>
          <w:p>
            <w:r>
              <w:t>Chunk is fully accessible to a student at this grade level with no assumed background beyond what has been taught.</w:t>
            </w:r>
          </w:p>
        </w:tc>
      </w:tr>
    </w:tbl>
    <w:p/>
    <w:p>
      <w:pPr>
        <w:pStyle w:val="Heading2"/>
      </w:pPr>
      <w:r>
        <w:t>4.3  Bloom Alignment (1–5)</w:t>
      </w:r>
    </w:p>
    <w:p>
      <w:r>
        <w:t>Measures: Does the chunk match the cognitive level of the student's query?</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Score</w:t>
            </w:r>
          </w:p>
        </w:tc>
        <w:tc>
          <w:tcPr>
            <w:tcW w:type="dxa" w:w="2928"/>
          </w:tcPr>
          <w:p>
            <w:r>
              <w:rPr>
                <w:b/>
              </w:rPr>
              <w:t>Label</w:t>
            </w:r>
          </w:p>
        </w:tc>
        <w:tc>
          <w:tcPr>
            <w:tcW w:type="dxa" w:w="2928"/>
          </w:tcPr>
          <w:p>
            <w:r>
              <w:rPr>
                <w:b/>
              </w:rPr>
              <w:t>Description</w:t>
            </w:r>
          </w:p>
        </w:tc>
      </w:tr>
      <w:tr>
        <w:tc>
          <w:tcPr>
            <w:tcW w:type="dxa" w:w="2928"/>
          </w:tcPr>
          <w:p>
            <w:r>
              <w:t>1</w:t>
            </w:r>
          </w:p>
        </w:tc>
        <w:tc>
          <w:tcPr>
            <w:tcW w:type="dxa" w:w="2928"/>
          </w:tcPr>
          <w:p>
            <w:r>
              <w:t>Complete mismatch</w:t>
            </w:r>
          </w:p>
        </w:tc>
        <w:tc>
          <w:tcPr>
            <w:tcW w:type="dxa" w:w="2928"/>
          </w:tcPr>
          <w:p>
            <w:r>
              <w:t>Chunk addresses a completely different Bloom level (e.g., chunk gives a definition [Remember] for a question that asks to evaluate a claim [Evaluate]).</w:t>
            </w:r>
          </w:p>
        </w:tc>
      </w:tr>
      <w:tr>
        <w:tc>
          <w:tcPr>
            <w:tcW w:type="dxa" w:w="2928"/>
          </w:tcPr>
          <w:p>
            <w:r>
              <w:t>2</w:t>
            </w:r>
          </w:p>
        </w:tc>
        <w:tc>
          <w:tcPr>
            <w:tcW w:type="dxa" w:w="2928"/>
          </w:tcPr>
          <w:p>
            <w:r>
              <w:t>Weak match</w:t>
            </w:r>
          </w:p>
        </w:tc>
        <w:tc>
          <w:tcPr>
            <w:tcW w:type="dxa" w:w="2928"/>
          </w:tcPr>
          <w:p>
            <w:r>
              <w:t>Chunk is two or more Bloom levels away from the query's cognitive demand.</w:t>
            </w:r>
          </w:p>
        </w:tc>
      </w:tr>
      <w:tr>
        <w:tc>
          <w:tcPr>
            <w:tcW w:type="dxa" w:w="2928"/>
          </w:tcPr>
          <w:p>
            <w:r>
              <w:t>3</w:t>
            </w:r>
          </w:p>
        </w:tc>
        <w:tc>
          <w:tcPr>
            <w:tcW w:type="dxa" w:w="2928"/>
          </w:tcPr>
          <w:p>
            <w:r>
              <w:t>Partial match</w:t>
            </w:r>
          </w:p>
        </w:tc>
        <w:tc>
          <w:tcPr>
            <w:tcW w:type="dxa" w:w="2928"/>
          </w:tcPr>
          <w:p>
            <w:r>
              <w:t>Chunk is adjacent but not exact (e.g., chunk explains [Understand] a concept; query asks to apply [Apply] it).</w:t>
            </w:r>
          </w:p>
        </w:tc>
      </w:tr>
      <w:tr>
        <w:tc>
          <w:tcPr>
            <w:tcW w:type="dxa" w:w="2928"/>
          </w:tcPr>
          <w:p>
            <w:r>
              <w:t>4</w:t>
            </w:r>
          </w:p>
        </w:tc>
        <w:tc>
          <w:tcPr>
            <w:tcW w:type="dxa" w:w="2928"/>
          </w:tcPr>
          <w:p>
            <w:r>
              <w:t>Good match</w:t>
            </w:r>
          </w:p>
        </w:tc>
        <w:tc>
          <w:tcPr>
            <w:tcW w:type="dxa" w:w="2928"/>
          </w:tcPr>
          <w:p>
            <w:r>
              <w:t>Chunk addresses the intended cognitive level of the query. A student could use it to formulate an answer at the right depth.</w:t>
            </w:r>
          </w:p>
        </w:tc>
      </w:tr>
      <w:tr>
        <w:tc>
          <w:tcPr>
            <w:tcW w:type="dxa" w:w="2928"/>
          </w:tcPr>
          <w:p>
            <w:r>
              <w:t>5</w:t>
            </w:r>
          </w:p>
        </w:tc>
        <w:tc>
          <w:tcPr>
            <w:tcW w:type="dxa" w:w="2928"/>
          </w:tcPr>
          <w:p>
            <w:r>
              <w:t>Exact match</w:t>
            </w:r>
          </w:p>
        </w:tc>
        <w:tc>
          <w:tcPr>
            <w:tcW w:type="dxa" w:w="2928"/>
          </w:tcPr>
          <w:p>
            <w:r>
              <w:t>Chunk directly supports the exact cognitive demand of the query at precisely the right Bloom level.</w:t>
            </w:r>
          </w:p>
        </w:tc>
      </w:tr>
    </w:tbl>
    <w:p>
      <w:pPr>
        <w:pStyle w:val="Heading1"/>
      </w:pPr>
      <w:r>
        <w:t>5. Calibration Session  (60–90 minutes, before independent rating)</w:t>
      </w:r>
    </w:p>
    <w:p>
      <w:r>
        <w:t>Run this session online (Google Meet / Zoom) or in-person. All raters must attend the same session. Estimated duration: 90 minutes.</w:t>
      </w:r>
    </w:p>
    <w:p>
      <w:pPr>
        <w:pStyle w:val="Heading2"/>
      </w:pPr>
      <w:r>
        <w:t>Step 1 — Dimension walkthrough  (15 min)</w:t>
      </w:r>
    </w:p>
    <w:p>
      <w:r>
        <w:t>Walk all raters through the rubric in Section 4. For each dimension, read the anchor descriptions aloud and invite questions. Emphasise the distinction between scores 3, 4, and 5 — these are where most disagreements occur when ratings cluster in the high band.</w:t>
      </w:r>
    </w:p>
    <w:p>
      <w:pPr>
        <w:pStyle w:val="Heading2"/>
      </w:pPr>
      <w:r>
        <w:t>Step 2 — Practice rating with 10 anchor pairs  (30 min)</w:t>
      </w:r>
    </w:p>
    <w:p>
      <w:r>
        <w:t>Select 10 anchor pairs with known "ground-truth" scores (determined by researcher consensus beforehand). Raters score independently on paper or a private form. After all submit, reveal scores and discuss disagreements as a group.</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Anchor pair type</w:t>
            </w:r>
          </w:p>
        </w:tc>
        <w:tc>
          <w:tcPr>
            <w:tcW w:type="dxa" w:w="2928"/>
          </w:tcPr>
          <w:p>
            <w:r>
              <w:rPr>
                <w:b/>
              </w:rPr>
              <w:t>Count</w:t>
            </w:r>
          </w:p>
        </w:tc>
        <w:tc>
          <w:tcPr>
            <w:tcW w:type="dxa" w:w="2928"/>
          </w:tcPr>
          <w:p>
            <w:r>
              <w:rPr>
                <w:b/>
              </w:rPr>
              <w:t>Target score range</w:t>
            </w:r>
          </w:p>
        </w:tc>
      </w:tr>
      <w:tr>
        <w:tc>
          <w:tcPr>
            <w:tcW w:type="dxa" w:w="2928"/>
          </w:tcPr>
          <w:p>
            <w:r>
              <w:t>Clear Low — obvious grade mismatch or inaccessible prereqs</w:t>
            </w:r>
          </w:p>
        </w:tc>
        <w:tc>
          <w:tcPr>
            <w:tcW w:type="dxa" w:w="2928"/>
          </w:tcPr>
          <w:p>
            <w:r>
              <w:t>2</w:t>
            </w:r>
          </w:p>
        </w:tc>
        <w:tc>
          <w:tcPr>
            <w:tcW w:type="dxa" w:w="2928"/>
          </w:tcPr>
          <w:p>
            <w:r>
              <w:t>CAS 1.0–2.0</w:t>
            </w:r>
          </w:p>
        </w:tc>
      </w:tr>
      <w:tr>
        <w:tc>
          <w:tcPr>
            <w:tcW w:type="dxa" w:w="2928"/>
          </w:tcPr>
          <w:p>
            <w:r>
              <w:t>Mid — subtle mismatch, close call</w:t>
            </w:r>
          </w:p>
        </w:tc>
        <w:tc>
          <w:tcPr>
            <w:tcW w:type="dxa" w:w="2928"/>
          </w:tcPr>
          <w:p>
            <w:r>
              <w:t>3</w:t>
            </w:r>
          </w:p>
        </w:tc>
        <w:tc>
          <w:tcPr>
            <w:tcW w:type="dxa" w:w="2928"/>
          </w:tcPr>
          <w:p>
            <w:r>
              <w:t>CAS 2.5–3.5</w:t>
            </w:r>
          </w:p>
        </w:tc>
      </w:tr>
      <w:tr>
        <w:tc>
          <w:tcPr>
            <w:tcW w:type="dxa" w:w="2928"/>
          </w:tcPr>
          <w:p>
            <w:r>
              <w:t>High — well-aligned but room to distinguish 4 vs 5</w:t>
            </w:r>
          </w:p>
        </w:tc>
        <w:tc>
          <w:tcPr>
            <w:tcW w:type="dxa" w:w="2928"/>
          </w:tcPr>
          <w:p>
            <w:r>
              <w:t>5</w:t>
            </w:r>
          </w:p>
        </w:tc>
        <w:tc>
          <w:tcPr>
            <w:tcW w:type="dxa" w:w="2928"/>
          </w:tcPr>
          <w:p>
            <w:r>
              <w:t>CAS 3.5–5.0</w:t>
            </w:r>
          </w:p>
        </w:tc>
      </w:tr>
    </w:tbl>
    <w:p/>
    <w:p>
      <w:pPr>
        <w:pStyle w:val="IntenseQuote"/>
      </w:pPr>
      <w:r>
        <w:t>Gate: All raters must agree within ±1 on ≥ 80% of anchor pairs before proceeding to independent rating. If the gate is not met, discuss remaining disagreements and re-anchor on those specific dimension × score combinations.</w:t>
      </w:r>
    </w:p>
    <w:p>
      <w:pPr>
        <w:pStyle w:val="Heading2"/>
      </w:pPr>
      <w:r>
        <w:t>Step 3 — Independent rating of 50 pairs  (45–60 min, asynchronous)</w:t>
      </w:r>
    </w:p>
    <w:p>
      <w:r>
        <w:t>After the calibration session, raters complete the 50-pair rating independently within 48 hours. Provide a structured rating form (Google Form or spreadsheet) with the following fields per pair:</w:t>
      </w:r>
    </w:p>
    <w:p>
      <w:pPr>
        <w:pStyle w:val="ListBullet"/>
      </w:pPr>
      <w:r>
        <w:t>Pair ID (read-only)</w:t>
      </w:r>
    </w:p>
    <w:p>
      <w:pPr>
        <w:pStyle w:val="ListBullet"/>
      </w:pPr>
      <w:r>
        <w:t>Student question — with grade level and subject displayed</w:t>
      </w:r>
    </w:p>
    <w:p>
      <w:pPr>
        <w:pStyle w:val="ListBullet"/>
      </w:pPr>
      <w:r>
        <w:t>Retrieved NCERT chunk — displayed exactly as retrieved</w:t>
      </w:r>
    </w:p>
    <w:p>
      <w:pPr>
        <w:pStyle w:val="ListBullet"/>
      </w:pPr>
      <w:r>
        <w:t>Grade Match rating (1–5 radio button)</w:t>
      </w:r>
    </w:p>
    <w:p>
      <w:pPr>
        <w:pStyle w:val="ListBullet"/>
      </w:pPr>
      <w:r>
        <w:t>Prerequisite Coverage rating (1–5 radio button)</w:t>
      </w:r>
    </w:p>
    <w:p>
      <w:pPr>
        <w:pStyle w:val="ListBullet"/>
      </w:pPr>
      <w:r>
        <w:t>Bloom Alignment rating (1–5 radio button)</w:t>
      </w:r>
    </w:p>
    <w:p>
      <w:pPr>
        <w:pStyle w:val="ListBullet"/>
      </w:pPr>
      <w:r>
        <w:t>Optional free-text notes (for borderline cases)</w:t>
      </w:r>
    </w:p>
    <w:p>
      <w:r>
        <w:t>Raters must not communicate with each other about specific pairs during this phase. They may refer to the rubric at any time.</w:t>
      </w:r>
    </w:p>
    <w:p>
      <w:pPr>
        <w:pStyle w:val="Heading1"/>
      </w:pPr>
      <w:r>
        <w:t>6. Analysis Plan</w:t>
      </w:r>
    </w:p>
    <w:p>
      <w:pPr>
        <w:pStyle w:val="Heading2"/>
      </w:pPr>
      <w:r>
        <w:t>6.1  Primary IRR metrics  (targets for journal acceptance)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Metric</w:t>
            </w:r>
          </w:p>
        </w:tc>
        <w:tc>
          <w:tcPr>
            <w:tcW w:type="dxa" w:w="2928"/>
          </w:tcPr>
          <w:p>
            <w:r>
              <w:rPr>
                <w:b/>
              </w:rPr>
              <w:t>Target</w:t>
            </w:r>
          </w:p>
        </w:tc>
        <w:tc>
          <w:tcPr>
            <w:tcW w:type="dxa" w:w="2928"/>
          </w:tcPr>
          <w:p>
            <w:r>
              <w:rPr>
                <w:b/>
              </w:rPr>
              <w:t>Rationale</w:t>
            </w:r>
          </w:p>
        </w:tc>
      </w:tr>
      <w:tr>
        <w:tc>
          <w:tcPr>
            <w:tcW w:type="dxa" w:w="2928"/>
          </w:tcPr>
          <w:p>
            <w:r>
              <w:t>Krippendorff α (ordinal)</w:t>
            </w:r>
          </w:p>
        </w:tc>
        <w:tc>
          <w:tcPr>
            <w:tcW w:type="dxa" w:w="2928"/>
          </w:tcPr>
          <w:p>
            <w:r>
              <w:t>≥ 0.60 per dimension</w:t>
            </w:r>
          </w:p>
        </w:tc>
        <w:tc>
          <w:tcPr>
            <w:tcW w:type="dxa" w:w="2928"/>
          </w:tcPr>
          <w:p>
            <w:r>
              <w:t>Krippendorff's own minimum threshold for tentative conclusions</w:t>
            </w:r>
          </w:p>
        </w:tc>
      </w:tr>
      <w:tr>
        <w:tc>
          <w:tcPr>
            <w:tcW w:type="dxa" w:w="2928"/>
          </w:tcPr>
          <w:p>
            <w:r>
              <w:t>ICC(A,k) — avg raters, absolute agreement</w:t>
            </w:r>
          </w:p>
        </w:tc>
        <w:tc>
          <w:tcPr>
            <w:tcW w:type="dxa" w:w="2928"/>
          </w:tcPr>
          <w:p>
            <w:r>
              <w:t>≥ 0.50 per dimension</w:t>
            </w:r>
          </w:p>
        </w:tc>
        <w:tc>
          <w:tcPr>
            <w:tcW w:type="dxa" w:w="2928"/>
          </w:tcPr>
          <w:p>
            <w:r>
              <w:t>Cicchetti threshold for moderate reliability of the averaged score</w:t>
            </w:r>
          </w:p>
        </w:tc>
      </w:tr>
      <w:tr>
        <w:tc>
          <w:tcPr>
            <w:tcW w:type="dxa" w:w="2928"/>
          </w:tcPr>
          <w:p>
            <w:r>
              <w:t>Mean pairwise linear-weighted Cohen's κ</w:t>
            </w:r>
          </w:p>
        </w:tc>
        <w:tc>
          <w:tcPr>
            <w:tcW w:type="dxa" w:w="2928"/>
          </w:tcPr>
          <w:p>
            <w:r>
              <w:t>≥ 0.60 per dimension</w:t>
            </w:r>
          </w:p>
        </w:tc>
        <w:tc>
          <w:tcPr>
            <w:tcW w:type="dxa" w:w="2928"/>
          </w:tcPr>
          <w:p>
            <w:r>
              <w:t>Landis &amp; Koch threshold for substantial agreement</w:t>
            </w:r>
          </w:p>
        </w:tc>
      </w:tr>
    </w:tbl>
    <w:p>
      <w:pPr>
        <w:pStyle w:val="Heading2"/>
      </w:pPr>
      <w:r>
        <w:t>6.2  Secondary metrics</w:t>
      </w:r>
    </w:p>
    <w:p>
      <w:pPr>
        <w:pStyle w:val="ListBullet"/>
      </w:pPr>
      <w:r>
        <w:t>% exact agreement and % adjacent agreement (within ±1 point)</w:t>
      </w:r>
    </w:p>
    <w:p>
      <w:pPr>
        <w:pStyle w:val="ListBullet"/>
      </w:pPr>
      <w:r>
        <w:t>Pearson r between expert rater consensus and Version 1 teacher panel means (per dimension)</w:t>
      </w:r>
    </w:p>
    <w:p>
      <w:pPr>
        <w:pStyle w:val="ListBullet"/>
      </w:pPr>
      <w:r>
        <w:t>Pearson r between expert rater consensus and each LLM judge score (per dimension)</w:t>
      </w:r>
    </w:p>
    <w:p>
      <w:pPr>
        <w:pStyle w:val="ListBullet"/>
      </w:pPr>
      <w:r>
        <w:t>Per-rater mean and SD — flag raters whose mean deviates &gt; 1.0 from the panel mean</w:t>
      </w:r>
    </w:p>
    <w:p>
      <w:pPr>
        <w:pStyle w:val="Heading2"/>
      </w:pPr>
      <w:r>
        <w:t>6.3  CAS weight calibration</w:t>
      </w:r>
    </w:p>
    <w:p>
      <w:r>
        <w:t>Once IRR targets are met (α ≥ 0.60 on all three dimensions), calibrate the CAS dimension weights (α, β, γ) as follows:</w:t>
      </w:r>
    </w:p>
    <w:p>
      <w:pPr>
        <w:pStyle w:val="ListNumber"/>
      </w:pPr>
      <w:r>
        <w:t>2.  Compute per-pair expert consensus CAS score = mean across all raters for each dimension.</w:t>
      </w:r>
    </w:p>
    <w:p>
      <w:pPr>
        <w:pStyle w:val="ListNumber"/>
      </w:pPr>
      <w:r>
        <w:t>3.  Define composite CAS(q,c) = α·GM + β·PR + γ·BL under the constraint α + β + γ = 1.</w:t>
      </w:r>
    </w:p>
    <w:p>
      <w:pPr>
        <w:pStyle w:val="ListNumber"/>
      </w:pPr>
      <w:r>
        <w:t>4.  Grid search over α, β, γ in steps of 0.05. For each combination compute Pearson r between formula CAS and expert consensus CAS across the 50 pairs.</w:t>
      </w:r>
    </w:p>
    <w:p>
      <w:pPr>
        <w:pStyle w:val="ListNumber"/>
      </w:pPr>
      <w:r>
        <w:t>5.  Select the weight combination that maximises Pearson r.</w:t>
      </w:r>
    </w:p>
    <w:p>
      <w:pPr>
        <w:pStyle w:val="ListNumber"/>
      </w:pPr>
      <w:r>
        <w:t>6.  Report optimised weights alongside the Version 1 heuristic weights (α=0.45, β=0.40, γ=0.15) for comparison.</w:t>
      </w:r>
    </w:p>
    <w:p>
      <w:pPr>
        <w:pStyle w:val="ListNumber"/>
      </w:pPr>
      <w:r>
        <w:t>7.  If optimised weights differ by &lt; 0.05 from heuristic weights on any dimension, report the heuristic weights as confirmed.</w:t>
      </w:r>
    </w:p>
    <w:p>
      <w:pPr>
        <w:pStyle w:val="Heading1"/>
      </w:pPr>
      <w:r>
        <w:t>7. Four-Week Timeline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Week</w:t>
            </w:r>
          </w:p>
        </w:tc>
        <w:tc>
          <w:tcPr>
            <w:tcW w:type="dxa" w:w="2928"/>
          </w:tcPr>
          <w:p>
            <w:r>
              <w:rPr>
                <w:b/>
              </w:rPr>
              <w:t>Task</w:t>
            </w:r>
          </w:p>
        </w:tc>
        <w:tc>
          <w:tcPr>
            <w:tcW w:type="dxa" w:w="2928"/>
          </w:tcPr>
          <w:p>
            <w:r>
              <w:rPr>
                <w:b/>
              </w:rPr>
              <w:t>Owner</w:t>
            </w:r>
          </w:p>
        </w:tc>
      </w:tr>
      <w:tr>
        <w:tc>
          <w:tcPr>
            <w:tcW w:type="dxa" w:w="2928"/>
          </w:tcPr>
          <w:p>
            <w:r>
              <w:t>Week 1</w:t>
            </w:r>
          </w:p>
        </w:tc>
        <w:tc>
          <w:tcPr>
            <w:tcW w:type="dxa" w:w="2928"/>
          </w:tcPr>
          <w:p>
            <w:r>
              <w:t>Recruit raters; confirm availability and background; send rubric in advance</w:t>
            </w:r>
          </w:p>
        </w:tc>
        <w:tc>
          <w:tcPr>
            <w:tcW w:type="dxa" w:w="2928"/>
          </w:tcPr>
          <w:p>
            <w:r>
              <w:t>Nitesh</w:t>
            </w:r>
          </w:p>
        </w:tc>
      </w:tr>
      <w:tr>
        <w:tc>
          <w:tcPr>
            <w:tcW w:type="dxa" w:w="2928"/>
          </w:tcPr>
          <w:p>
            <w:r>
              <w:t>Week 2</w:t>
            </w:r>
          </w:p>
        </w:tc>
        <w:tc>
          <w:tcPr>
            <w:tcW w:type="dxa" w:w="2928"/>
          </w:tcPr>
          <w:p>
            <w:r>
              <w:t>Select 50-pair discriminating sample from 150-pair pool; prepare rating form and 10 anchor pairs with researcher ground-truth scores</w:t>
            </w:r>
          </w:p>
        </w:tc>
        <w:tc>
          <w:tcPr>
            <w:tcW w:type="dxa" w:w="2928"/>
          </w:tcPr>
          <w:p>
            <w:r>
              <w:t>Nitesh</w:t>
            </w:r>
          </w:p>
        </w:tc>
      </w:tr>
      <w:tr>
        <w:tc>
          <w:tcPr>
            <w:tcW w:type="dxa" w:w="2928"/>
          </w:tcPr>
          <w:p>
            <w:r>
              <w:t>Week 3 — Day 1</w:t>
            </w:r>
          </w:p>
        </w:tc>
        <w:tc>
          <w:tcPr>
            <w:tcW w:type="dxa" w:w="2928"/>
          </w:tcPr>
          <w:p>
            <w:r>
              <w:t>Run 90-minute calibration session (online or in-person) — Steps 1 and 2 from Section 5</w:t>
            </w:r>
          </w:p>
        </w:tc>
        <w:tc>
          <w:tcPr>
            <w:tcW w:type="dxa" w:w="2928"/>
          </w:tcPr>
          <w:p>
            <w:r>
              <w:t>All raters</w:t>
            </w:r>
          </w:p>
        </w:tc>
      </w:tr>
      <w:tr>
        <w:tc>
          <w:tcPr>
            <w:tcW w:type="dxa" w:w="2928"/>
          </w:tcPr>
          <w:p>
            <w:r>
              <w:t>Week 3 — Day 2–3</w:t>
            </w:r>
          </w:p>
        </w:tc>
        <w:tc>
          <w:tcPr>
            <w:tcW w:type="dxa" w:w="2928"/>
          </w:tcPr>
          <w:p>
            <w:r>
              <w:t>Independent rating of 50 pairs (asynchronous, within 48 hrs) — Step 3</w:t>
            </w:r>
          </w:p>
        </w:tc>
        <w:tc>
          <w:tcPr>
            <w:tcW w:type="dxa" w:w="2928"/>
          </w:tcPr>
          <w:p>
            <w:r>
              <w:t>All raters</w:t>
            </w:r>
          </w:p>
        </w:tc>
      </w:tr>
      <w:tr>
        <w:tc>
          <w:tcPr>
            <w:tcW w:type="dxa" w:w="2928"/>
          </w:tcPr>
          <w:p>
            <w:r>
              <w:t>Week 4</w:t>
            </w:r>
          </w:p>
        </w:tc>
        <w:tc>
          <w:tcPr>
            <w:tcW w:type="dxa" w:w="2928"/>
          </w:tcPr>
          <w:p>
            <w:r>
              <w:t>Compute IRR; calibrate weights; write Version 2 §4.5, §5.4, §6.3; remove Limitation 5; update abstract and conclusion</w:t>
            </w:r>
          </w:p>
        </w:tc>
        <w:tc>
          <w:tcPr>
            <w:tcW w:type="dxa" w:w="2928"/>
          </w:tcPr>
          <w:p>
            <w:r>
              <w:t>Nitesh</w:t>
            </w:r>
          </w:p>
        </w:tc>
      </w:tr>
    </w:tbl>
    <w:p>
      <w:pPr>
        <w:pStyle w:val="Heading1"/>
      </w:pPr>
      <w:r>
        <w:t>8. Version 2 Paper Changes  (after calibration data is in hand)</w:t>
      </w:r>
    </w:p>
    <w:p>
      <w:r>
        <w:t>These are the sections that change between Version 1 (conference) and Version 2 (journal) once the calibrated rating study is complete.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Section</w:t>
            </w:r>
          </w:p>
        </w:tc>
        <w:tc>
          <w:tcPr>
            <w:tcW w:type="dxa" w:w="2928"/>
          </w:tcPr>
          <w:p>
            <w:r>
              <w:rPr>
                <w:b/>
              </w:rPr>
              <w:t>Version 1 (conference)</w:t>
            </w:r>
          </w:p>
        </w:tc>
        <w:tc>
          <w:tcPr>
            <w:tcW w:type="dxa" w:w="2928"/>
          </w:tcPr>
          <w:p>
            <w:r>
              <w:rPr>
                <w:b/>
              </w:rPr>
              <w:t>Version 2 (journal)</w:t>
            </w:r>
          </w:p>
        </w:tc>
      </w:tr>
      <w:tr>
        <w:tc>
          <w:tcPr>
            <w:tcW w:type="dxa" w:w="2928"/>
          </w:tcPr>
          <w:p>
            <w:r>
              <w:t>Abstract</w:t>
            </w:r>
          </w:p>
        </w:tc>
        <w:tc>
          <w:tcPr>
            <w:tcW w:type="dxa" w:w="2928"/>
          </w:tcPr>
          <w:p>
            <w:r>
              <w:t>"Teacher validation by a panel of 26 STEM educators... CAS=3.84/5.0"</w:t>
            </w:r>
          </w:p>
        </w:tc>
        <w:tc>
          <w:tcPr>
            <w:tcW w:type="dxa" w:w="2928"/>
          </w:tcPr>
          <w:p>
            <w:r>
              <w:t>Replace with calibrated IRR numbers (α, ICC) from expert panel</w:t>
            </w:r>
          </w:p>
        </w:tc>
      </w:tr>
      <w:tr>
        <w:tc>
          <w:tcPr>
            <w:tcW w:type="dxa" w:w="2928"/>
          </w:tcPr>
          <w:p>
            <w:r>
              <w:t>§4.5 CAS Validation Protocol</w:t>
            </w:r>
          </w:p>
        </w:tc>
        <w:tc>
          <w:tcPr>
            <w:tcW w:type="dxa" w:w="2928"/>
          </w:tcPr>
          <w:p>
            <w:r>
              <w:t>26 STEM teachers, uncalibrated, Google Form + H1 sheet</w:t>
            </w:r>
          </w:p>
        </w:tc>
        <w:tc>
          <w:tcPr>
            <w:tcW w:type="dxa" w:w="2928"/>
          </w:tcPr>
          <w:p>
            <w:r>
              <w:t>3–5 expert raters, calibrated session, anchor examples, 50 pairs</w:t>
            </w:r>
          </w:p>
        </w:tc>
      </w:tr>
      <w:tr>
        <w:tc>
          <w:tcPr>
            <w:tcW w:type="dxa" w:w="2928"/>
          </w:tcPr>
          <w:p>
            <w:r>
              <w:t>Table 5 — CAS Validation Status</w:t>
            </w:r>
          </w:p>
        </w:tc>
        <w:tc>
          <w:tcPr>
            <w:tcW w:type="dxa" w:w="2928"/>
          </w:tcPr>
          <w:p>
            <w:r>
              <w:t>Teacher Panel Mean (/5) and % High</w:t>
            </w:r>
          </w:p>
        </w:tc>
        <w:tc>
          <w:tcPr>
            <w:tcW w:type="dxa" w:w="2928"/>
          </w:tcPr>
          <w:p>
            <w:r>
              <w:t>Krippendorff α, ICC(A,k), Cohen's κ per dimension; Pearson r with LLM judges</w:t>
            </w:r>
          </w:p>
        </w:tc>
      </w:tr>
      <w:tr>
        <w:tc>
          <w:tcPr>
            <w:tcW w:type="dxa" w:w="2928"/>
          </w:tcPr>
          <w:p>
            <w:r>
              <w:t>§5.4 Results</w:t>
            </w:r>
          </w:p>
        </w:tc>
        <w:tc>
          <w:tcPr>
            <w:tcW w:type="dxa" w:w="2928"/>
          </w:tcPr>
          <w:p>
            <w:r>
              <w:t>CAS=3.84/5.0, 98% High, α≈0, ceiling effect explanation</w:t>
            </w:r>
          </w:p>
        </w:tc>
        <w:tc>
          <w:tcPr>
            <w:tcW w:type="dxa" w:w="2928"/>
          </w:tcPr>
          <w:p>
            <w:r>
              <w:t>α≥0.60, ICC≥0.50; Pearson r with LLM judges; calibrated weight confirmation</w:t>
            </w:r>
          </w:p>
        </w:tc>
      </w:tr>
      <w:tr>
        <w:tc>
          <w:tcPr>
            <w:tcW w:type="dxa" w:w="2928"/>
          </w:tcPr>
          <w:p>
            <w:r>
              <w:t>§6.3 Discussion</w:t>
            </w:r>
          </w:p>
        </w:tc>
        <w:tc>
          <w:tcPr>
            <w:tcW w:type="dxa" w:w="2928"/>
          </w:tcPr>
          <w:p>
            <w:r>
              <w:t>Ceiling effect framing; LLM + teacher convergence</w:t>
            </w:r>
          </w:p>
        </w:tc>
        <w:tc>
          <w:tcPr>
            <w:tcW w:type="dxa" w:w="2928"/>
          </w:tcPr>
          <w:p>
            <w:r>
              <w:t>Strong reliability claim; weight validation; LLM–human agreement analysis</w:t>
            </w:r>
          </w:p>
        </w:tc>
      </w:tr>
      <w:tr>
        <w:tc>
          <w:tcPr>
            <w:tcW w:type="dxa" w:w="2928"/>
          </w:tcPr>
          <w:p>
            <w:r>
              <w:t>§6.4 Limitation 5</w:t>
            </w:r>
          </w:p>
        </w:tc>
        <w:tc>
          <w:tcPr>
            <w:tcW w:type="dxa" w:w="2928"/>
          </w:tcPr>
          <w:p>
            <w:r>
              <w:t>"Uncalibrated; α≈0; content validity only"</w:t>
            </w:r>
          </w:p>
        </w:tc>
        <w:tc>
          <w:tcPr>
            <w:tcW w:type="dxa" w:w="2928"/>
          </w:tcPr>
          <w:p>
            <w:r>
              <w:t>Remove — limitation is resolved</w:t>
            </w:r>
          </w:p>
        </w:tc>
      </w:tr>
      <w:tr>
        <w:tc>
          <w:tcPr>
            <w:tcW w:type="dxa" w:w="2928"/>
          </w:tcPr>
          <w:p>
            <w:r>
              <w:t>§7 Future Work point (2)</w:t>
            </w:r>
          </w:p>
        </w:tc>
        <w:tc>
          <w:tcPr>
            <w:tcW w:type="dxa" w:w="2928"/>
          </w:tcPr>
          <w:p>
            <w:r>
              <w:t>"calibrated expert re-rating planned"</w:t>
            </w:r>
          </w:p>
        </w:tc>
        <w:tc>
          <w:tcPr>
            <w:tcW w:type="dxa" w:w="2928"/>
          </w:tcPr>
          <w:p>
            <w:r>
              <w:t>Remove — done; replace with next open question</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