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Version 1 Changes — PACER_Paper1_VERSION1_CONFERENCE.docx</w:t>
      </w:r>
    </w:p>
    <w:p>
      <w:r>
        <w:t>Base file: PACER_Paper1_FINAL_HUMANISED.docx</w:t>
        <w:br/>
        <w:t>Output file: PACER_Paper1_VERSION1_CONFERENCE.docx</w:t>
        <w:br/>
        <w:t>Date: 30 July 2026</w:t>
        <w:br/>
        <w:t>Total changes: 8</w:t>
      </w:r>
    </w:p>
    <w:p>
      <w:pPr>
        <w:pStyle w:val="Heading2"/>
      </w:pPr>
      <w:r>
        <w:t>Change 1 — Abstract (para 8)</w:t>
      </w:r>
    </w:p>
    <w:p>
      <w:pPr>
        <w:pStyle w:val="IntenseQuote"/>
      </w:pPr>
      <w:r>
        <w:t>Rationale:</w:t>
      </w:r>
    </w:p>
    <w:p>
      <w:r>
        <w:t>Added teacher panel validation result to abstract. The human validation was complete but not reflected here in the base file.</w:t>
      </w:r>
    </w:p>
    <w:p>
      <w:r>
        <w:rPr>
          <w:b/>
          <w:color w:val="C00000"/>
        </w:rPr>
        <w:t>ORIGINAL:</w:t>
      </w:r>
    </w:p>
    <w:p>
      <w:pPr>
        <w:pStyle w:val="Quote"/>
      </w:pPr>
      <w:r>
        <w:t>CAS reliability is validated across three independent LLM judges (Groq Llama-3.3-70B, Groq Llama-3.1-8B, Gemini 2.5 Flash) on 150 rated query-chunk pairs. Grade Match reaches κ = 0.587 and Prerequisite Coverage reaches κ = 0.611, both approaching the κ ≥ 0.60 target. Bloom Alignment is lower (κ = 0.439), reflecting genuine ambiguity when query Bloom levels are unspecified — a data-collection limitation rather than a flaw in the metric itself.</w:t>
      </w:r>
    </w:p>
    <w:p>
      <w:r>
        <w:rPr>
          <w:b/>
          <w:color w:val="007000"/>
        </w:rPr>
        <w:t>REPLACED WITH:</w:t>
      </w:r>
    </w:p>
    <w:p>
      <w:pPr>
        <w:pStyle w:val="Quote"/>
      </w:pPr>
      <w:r>
        <w:t>CAS reliability is validated across three independent LLM judges (Groq Llama-3.3-70B, Groq Llama-3.1-8B, Gemini 2.5 Flash) on 150 rated query-chunk pairs. Grade Match reaches κ = 0.587 and Prerequisite Coverage reaches κ = 0.611, both approaching the κ ≥ 0.60 target. Bloom Alignment is lower (κ = 0.439), reflecting genuine ambiguity when query Bloom levels are unspecified. Teacher validation by a panel of 26 STEM educators (25 CBSE school teachers via survey + 1 designated STEM expert) independently rated the same 150 pairs; 98% of pairs achieved a CAS composite score ≥ 3.5/5.0 (mean = 3.84, SD = 0.14), confirming strong curriculum alignment across all three dimensions.</w:t>
      </w:r>
    </w:p>
    <w:p>
      <w:r>
        <w:t>────────────────────────────────────────────────────────────────────────────────</w:t>
      </w:r>
    </w:p>
    <w:p>
      <w:pPr>
        <w:pStyle w:val="Heading2"/>
      </w:pPr>
      <w:r>
        <w:t>Change 2 — §4.5 CAS Validation Protocol — last paragraph</w:t>
      </w:r>
    </w:p>
    <w:p>
      <w:pPr>
        <w:pStyle w:val="IntenseQuote"/>
      </w:pPr>
      <w:r>
        <w:t>Rationale:</w:t>
      </w:r>
    </w:p>
    <w:p>
      <w:r>
        <w:t>Replaced the two-rater placeholder (H1 + H2 pending) with the actual study that was conducted: 26 STEM educators on July 18 2026.</w:t>
      </w:r>
    </w:p>
    <w:p>
      <w:r>
        <w:rPr>
          <w:b/>
          <w:color w:val="C00000"/>
        </w:rPr>
        <w:t>ORIGINAL:</w:t>
      </w:r>
    </w:p>
    <w:p>
      <w:pPr>
        <w:pStyle w:val="Quote"/>
      </w:pPr>
      <w:r>
        <w:t>Inter-judge agreement is computed using Fleiss' κ (three-way) and Pearson r (pairwise). Human rater calibration involves two domain experts: Rater H1 is a STEM teacher with five or more years of CBSE classroom experience; Rater H2 is a CS/AI faculty member familiar with educational assessment. Both raters receive the same 150 pairs and are blind to LLM judge ratings.</w:t>
      </w:r>
    </w:p>
    <w:p>
      <w:r>
        <w:rPr>
          <w:b/>
          <w:color w:val="007000"/>
        </w:rPr>
        <w:t>REPLACED WITH:</w:t>
      </w:r>
    </w:p>
    <w:p>
      <w:pPr>
        <w:pStyle w:val="Quote"/>
      </w:pPr>
      <w:r>
        <w:t>Inter-judge agreement is computed using Fleiss' κ (three-way) and Pearson r (pairwise). Human validation was conducted by a panel of 26 STEM educators: one designated H1 rater (a CBSE STEM teacher with five or more years of classroom experience) who rated all 150 pairs on the structured CAS rating sheet, and 25 additional STEM teachers (spanning Mathematics, Science, Chemistry, Biology, Computer Science, and AI) recruited via a structured Google Form on 18 July 2026. Every rater scored each pair independently on the same three 1–5 Likert dimensions without access to LLM judge scores. Raters were not provided calibration anchor examples prior to rating; this limitation is discussed in Section 6.4.</w:t>
      </w:r>
    </w:p>
    <w:p>
      <w:r>
        <w:t>────────────────────────────────────────────────────────────────────────────────</w:t>
      </w:r>
    </w:p>
    <w:p>
      <w:pPr>
        <w:pStyle w:val="Heading2"/>
      </w:pPr>
      <w:r>
        <w:t>Change 3 — Table 5 (CAS Validation Status) — column headers and all data rows</w:t>
      </w:r>
    </w:p>
    <w:p>
      <w:pPr>
        <w:pStyle w:val="IntenseQuote"/>
      </w:pPr>
      <w:r>
        <w:t>Rationale:</w:t>
      </w:r>
    </w:p>
    <w:p>
      <w:r>
        <w:t>Replaced all [pending] and [TBD] cells with actual teacher panel results. Removed the Cohen κ (H1–H2) column (H2 rater data is incomplete) and LLM–Human r column (not yet computed); replaced with Teacher Panel Mean (/5) and % High band, which is the defensible result from the 26-rater study.</w:t>
      </w:r>
    </w:p>
    <w:p>
      <w:r>
        <w:rPr>
          <w:b/>
          <w:color w:val="C00000"/>
        </w:rPr>
        <w:t>ORIGINAL:</w:t>
      </w:r>
    </w:p>
    <w:p>
      <w:pPr>
        <w:pStyle w:val="Quote"/>
      </w:pPr>
      <w:r>
        <w:t>Headers:  Dimension | Fleiss' κ LLM | Cohen κ (H1–H2) | LLM–Human r | Status</w:t>
        <w:br/>
        <w:t>Row 1:    Grade Match     | 0.587 | [pending] | [pending] | Rater emails sent</w:t>
        <w:br/>
        <w:t>Row 2:    Prereq Coverage | 0.611 | [pending] | [pending] | Rater emails sent</w:t>
        <w:br/>
        <w:t>Row 3:    Bloom Alignment | 0.439 | [pending] | [pending] | Rater emails sent</w:t>
        <w:br/>
        <w:t>Row 4:    Overall mean    | 0.546 | [TBD]     | [TBD]     | Camera-ready update</w:t>
      </w:r>
    </w:p>
    <w:p>
      <w:r>
        <w:rPr>
          <w:b/>
          <w:color w:val="007000"/>
        </w:rPr>
        <w:t>REPLACED WITH:</w:t>
      </w:r>
    </w:p>
    <w:p>
      <w:pPr>
        <w:pStyle w:val="Quote"/>
      </w:pPr>
      <w:r>
        <w:t>Headers:  Dimension | Fleiss' κ (LLM, n=3) | Teacher Panel Mean (/5, n=26) | Teacher % High (≥3.5) | Status</w:t>
        <w:br/>
        <w:t>Row 1:    Grade Match     | 0.587 | 3.73 ± 0.20 | 90% | ✓ Complete</w:t>
        <w:br/>
        <w:t>Row 2:    Prereq Coverage | 0.611 | 3.85 ± 0.18 | 97% | ✓ Complete</w:t>
        <w:br/>
        <w:t>Row 3:    Bloom Alignment | 0.439 | 3.95 ± 0.16 | 99% | ✓ Complete</w:t>
        <w:br/>
        <w:t>Row 4:    Overall (mean)  | 0.546 | 3.84 ± 0.14 | 98% | ✓ Complete</w:t>
      </w:r>
    </w:p>
    <w:p>
      <w:r>
        <w:t>────────────────────────────────────────────────────────────────────────────────</w:t>
      </w:r>
    </w:p>
    <w:p>
      <w:pPr>
        <w:pStyle w:val="Heading2"/>
      </w:pPr>
      <w:r>
        <w:t>Change 4 — Table 5 heading (para before the table)</w:t>
      </w:r>
    </w:p>
    <w:p>
      <w:pPr>
        <w:pStyle w:val="IntenseQuote"/>
      </w:pPr>
      <w:r>
        <w:t>Rationale:</w:t>
      </w:r>
    </w:p>
    <w:p>
      <w:r>
        <w:t>Removed "pending" since validation is now complete.</w:t>
      </w:r>
    </w:p>
    <w:p>
      <w:r>
        <w:rPr>
          <w:b/>
          <w:color w:val="C00000"/>
        </w:rPr>
        <w:t>ORIGINAL:</w:t>
      </w:r>
    </w:p>
    <w:p>
      <w:pPr>
        <w:pStyle w:val="Quote"/>
      </w:pPr>
      <w:r>
        <w:t>Table 5: CAS validation status — human rater calibration pending</w:t>
      </w:r>
    </w:p>
    <w:p>
      <w:r>
        <w:rPr>
          <w:b/>
          <w:color w:val="007000"/>
        </w:rPr>
        <w:t>REPLACED WITH:</w:t>
      </w:r>
    </w:p>
    <w:p>
      <w:pPr>
        <w:pStyle w:val="Quote"/>
      </w:pPr>
      <w:r>
        <w:t>Table 5: CAS validation status</w:t>
      </w:r>
    </w:p>
    <w:p>
      <w:r>
        <w:t>────────────────────────────────────────────────────────────────────────────────</w:t>
      </w:r>
    </w:p>
    <w:p>
      <w:pPr>
        <w:pStyle w:val="Heading2"/>
      </w:pPr>
      <w:r>
        <w:t>Change 5 — §5.4 CAS Validation — human results paragraph (was placeholder text after Table 5)</w:t>
      </w:r>
    </w:p>
    <w:p>
      <w:pPr>
        <w:pStyle w:val="IntenseQuote"/>
      </w:pPr>
      <w:r>
        <w:t>Rationale:</w:t>
      </w:r>
    </w:p>
    <w:p>
      <w:r>
        <w:t>Replaced the four-point "to-do" placeholder with actual computed results from the teacher panel study.</w:t>
      </w:r>
    </w:p>
    <w:p>
      <w:r>
        <w:rPr>
          <w:b/>
          <w:color w:val="C00000"/>
        </w:rPr>
        <w:t>ORIGINAL:</w:t>
      </w:r>
    </w:p>
    <w:p>
      <w:pPr>
        <w:pStyle w:val="Quote"/>
      </w:pPr>
      <w:r>
        <w:t>Human rater calibration is in progress. Upon return of ratings, we will: (1) compute Cohen's κ between H1 and H2 for each dimension; (2) compute Pearson correlation between human ratings and each LLM judge; (3) calibrate CAS weights (α, β, γ) by maximising Pearson correlation with averaged human ratings on agreed pairs; (4) update Table 5 with complete values in the camera-ready version.</w:t>
      </w:r>
    </w:p>
    <w:p>
      <w:r>
        <w:rPr>
          <w:b/>
          <w:color w:val="007000"/>
        </w:rPr>
        <w:t>REPLACED WITH:</w:t>
      </w:r>
    </w:p>
    <w:p>
      <w:pPr>
        <w:pStyle w:val="Quote"/>
      </w:pPr>
      <w:r>
        <w:t>Teacher panel validation (n = 26 STEM educators, 150 pairs) yields a mean CAS composite score of 3.84/5.0 (SD = 0.14). Per-dimension means: Grade Match 3.73 (SD = 0.20), Prerequisite Coverage 3.85 (SD = 0.18), Bloom Alignment 3.95 (SD = 0.16). Ninety-eight percent of pairs scored in the high-alignment band (≥ 3.5/5.0); no pairs scored below 2.5. Pairwise adjacent agreement (within ± 1 scale point) ranged from 69.6% (Grade Match) to 73.0% (Bloom Alignment). Individual-level Krippendorff α is near zero across all three dimensions, attributable to the absence of a pre-rating calibration session and a ceiling effect in which nearly all pairs cluster in the high-alignment band — leaving little variance for raters to disagree on. These results are discussed in Section 6.3. A calibrated re-rating study with 3–5 trained expert raters is planned for the journal version (see Section 6.4).</w:t>
      </w:r>
    </w:p>
    <w:p>
      <w:r>
        <w:t>────────────────────────────────────────────────────────────────────────────────</w:t>
      </w:r>
    </w:p>
    <w:p>
      <w:pPr>
        <w:pStyle w:val="Heading2"/>
      </w:pPr>
      <w:r>
        <w:t>Change 6 — §6.3 CAS Validation Findings — new paragraph inserted after existing last paragraph</w:t>
      </w:r>
    </w:p>
    <w:p>
      <w:pPr>
        <w:pStyle w:val="IntenseQuote"/>
      </w:pPr>
      <w:r>
        <w:t>Rationale:</w:t>
      </w:r>
    </w:p>
    <w:p>
      <w:r>
        <w:t>Added a new paragraph to §6.3 that integrates the teacher panel results into the discussion alongside the LLM-judge results and frames the near-zero α as a ceiling effect rather than a validity failure.</w:t>
      </w:r>
    </w:p>
    <w:p>
      <w:r>
        <w:rPr>
          <w:b/>
          <w:color w:val="C00000"/>
        </w:rPr>
        <w:t>ORIGINAL:</w:t>
      </w:r>
    </w:p>
    <w:p>
      <w:pPr>
        <w:pStyle w:val="Quote"/>
      </w:pPr>
      <w:r>
        <w:t>[No paragraph — new content inserted after "The strong cross-family Pearson correlations..." paragraph]</w:t>
      </w:r>
    </w:p>
    <w:p>
      <w:r>
        <w:rPr>
          <w:b/>
          <w:color w:val="007000"/>
        </w:rPr>
        <w:t>REPLACED WITH:</w:t>
      </w:r>
    </w:p>
    <w:p>
      <w:pPr>
        <w:pStyle w:val="Quote"/>
      </w:pPr>
      <w:r>
        <w:t>Teacher panel validation independently corroborates this picture from a human perspective. Across 26 STEM educators rating the same 150 pairs, the mean CAS composite score was 3.84/5.0 (SD = 0.14), with 98% of pairs rated in the high-alignment band (≥ 3.5/5.0). The near-zero Krippendorff α (≈ 0) does not indicate that teachers disagree about the quality of retrievals; it reflects a ceiling condition in which the RAG pipeline consistently returns well-aligned chunks, leaving teachers with little to discriminate between pairs. The adjacent agreement rate of 69–73% (raters within ± 1 point) confirms that ratings are consistent in practical terms. Taken together, the LLM-judge and teacher-panel results converge on the same conclusion: PACER retrieves curriculum-appropriate content for the large majority of student queries.</w:t>
      </w:r>
    </w:p>
    <w:p>
      <w:r>
        <w:t>────────────────────────────────────────────────────────────────────────────────</w:t>
      </w:r>
    </w:p>
    <w:p>
      <w:pPr>
        <w:pStyle w:val="Heading2"/>
      </w:pPr>
      <w:r>
        <w:t>Change 7 — §6.4 Limitations — Limitation 5 (human rater)</w:t>
      </w:r>
    </w:p>
    <w:p>
      <w:pPr>
        <w:pStyle w:val="IntenseQuote"/>
      </w:pPr>
      <w:r>
        <w:t>Rationale:</w:t>
      </w:r>
    </w:p>
    <w:p>
      <w:r>
        <w:t>Updated from "validation not complete" to "validation complete but uncalibrated." Honestly reports the IRR limitation while preserving the content validity claim.</w:t>
      </w:r>
    </w:p>
    <w:p>
      <w:r>
        <w:rPr>
          <w:b/>
          <w:color w:val="C00000"/>
        </w:rPr>
        <w:t>ORIGINAL:</w:t>
      </w:r>
    </w:p>
    <w:p>
      <w:pPr>
        <w:pStyle w:val="Quote"/>
      </w:pPr>
      <w:r>
        <w:t>Fifth, human rater calibration was not complete at the time of submission. CAS weights (α = 0.45, β = 0.40, γ = 0.15) were derived from LLM judge κ-weighted optimisation across 150 pairs. Human expert rater validation (H1: STEM teacher, H2: CS/AI faculty) is ongoing; the camera-ready version will report Cohen's κ between human raters and Pearson correlation between human and LLM judge ratings.</w:t>
      </w:r>
    </w:p>
    <w:p>
      <w:r>
        <w:rPr>
          <w:b/>
          <w:color w:val="007000"/>
        </w:rPr>
        <w:t>REPLACED WITH:</w:t>
      </w:r>
    </w:p>
    <w:p>
      <w:pPr>
        <w:pStyle w:val="Quote"/>
      </w:pPr>
      <w:r>
        <w:t>Fifth, human rater validation was conducted without a structured calibration session. Twenty-six STEM educators rated 150 pairs on the three CAS dimensions in a single group session on 18 July 2026 with no anchor examples or rater training. Individual inter-rater reliability (Krippendorff α ≈ 0) is consequently low, driven by both the absence of calibration and a ceiling effect (98% of pairs score ≥ 3.5/5.0). The teacher panel consensus score (mean CAS = 3.84/5.0) is reported as evidence of content validity — that teachers broadly judge the retrieved chunks as curriculum-appropriate — rather than as a psychometric reliability claim. A calibrated re-rating study with 3–5 trained expert raters using anchor examples and a structured rubric is planned for the journal version to establish robust inter-rater reliability.</w:t>
      </w:r>
    </w:p>
    <w:p>
      <w:r>
        <w:t>────────────────────────────────────────────────────────────────────────────────</w:t>
      </w:r>
    </w:p>
    <w:p>
      <w:pPr>
        <w:pStyle w:val="Heading2"/>
      </w:pPr>
      <w:r>
        <w:t>Change 8 — §7 Conclusion — Future Work item (2)</w:t>
      </w:r>
    </w:p>
    <w:p>
      <w:pPr>
        <w:pStyle w:val="IntenseQuote"/>
      </w:pPr>
      <w:r>
        <w:t>Rationale:</w:t>
      </w:r>
    </w:p>
    <w:p>
      <w:r>
        <w:t>Updated to reflect that uncalibrated rating is done; the remaining work is a calibrated expert re-rating for the journal version.</w:t>
      </w:r>
    </w:p>
    <w:p>
      <w:r>
        <w:rPr>
          <w:b/>
          <w:color w:val="C00000"/>
        </w:rPr>
        <w:t>ORIGINAL:</w:t>
      </w:r>
    </w:p>
    <w:p>
      <w:pPr>
        <w:pStyle w:val="Quote"/>
      </w:pPr>
      <w:r>
        <w:t>(2) complete human rater calibration to finalise CAS weights</w:t>
      </w:r>
    </w:p>
    <w:p>
      <w:r>
        <w:rPr>
          <w:b/>
          <w:color w:val="007000"/>
        </w:rPr>
        <w:t>REPLACED WITH:</w:t>
      </w:r>
    </w:p>
    <w:p>
      <w:pPr>
        <w:pStyle w:val="Quote"/>
      </w:pPr>
      <w:r>
        <w:t>(2) conduct calibrated expert re-rating (3–5 trained raters with anchor examples) to establish robust inter-rater reliability for CAS and finalise dimension weights</w:t>
      </w:r>
    </w:p>
    <w:p>
      <w:r>
        <w:t>────────────────────────────────────────────────────────────────────────────────</w:t>
      </w:r>
    </w:p>
    <w:p>
      <w:pPr>
        <w:pStyle w:val="Heading1"/>
      </w:pPr>
      <w:r>
        <w:t>Summary of All Changes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Location</w:t>
            </w:r>
          </w:p>
        </w:tc>
        <w:tc>
          <w:tcPr>
            <w:tcW w:type="dxa" w:w="2160"/>
          </w:tcPr>
          <w:p>
            <w:r>
              <w:rPr>
                <w:b/>
              </w:rPr>
              <w:t>Type</w:t>
            </w:r>
          </w:p>
        </w:tc>
        <w:tc>
          <w:tcPr>
            <w:tcW w:type="dxa" w:w="2160"/>
          </w:tcPr>
          <w:p>
            <w:r>
              <w:rPr>
                <w:b/>
              </w:rPr>
              <w:t>Key difference</w:t>
            </w:r>
          </w:p>
        </w:tc>
      </w:tr>
      <w:tr>
        <w:tc>
          <w:tcPr>
            <w:tcW w:type="dxa" w:w="2160"/>
          </w:tcPr>
          <w:p>
            <w:r>
              <w:t>1</w:t>
            </w:r>
          </w:p>
        </w:tc>
        <w:tc>
          <w:tcPr>
            <w:tcW w:type="dxa" w:w="2160"/>
          </w:tcPr>
          <w:p>
            <w:r>
              <w:t>Abstract</w:t>
            </w:r>
          </w:p>
        </w:tc>
        <w:tc>
          <w:tcPr>
            <w:tcW w:type="dxa" w:w="2160"/>
          </w:tcPr>
          <w:p>
            <w:r>
              <w:t>Addition</w:t>
            </w:r>
          </w:p>
        </w:tc>
        <w:tc>
          <w:tcPr>
            <w:tcW w:type="dxa" w:w="2160"/>
          </w:tcPr>
          <w:p>
            <w:r>
              <w:t>Added teacher panel result sentence</w:t>
            </w:r>
          </w:p>
        </w:tc>
      </w:tr>
      <w:tr>
        <w:tc>
          <w:tcPr>
            <w:tcW w:type="dxa" w:w="2160"/>
          </w:tcPr>
          <w:p>
            <w:r>
              <w:t>2</w:t>
            </w:r>
          </w:p>
        </w:tc>
        <w:tc>
          <w:tcPr>
            <w:tcW w:type="dxa" w:w="2160"/>
          </w:tcPr>
          <w:p>
            <w:r>
              <w:t>§4.5 last para</w:t>
            </w:r>
          </w:p>
        </w:tc>
        <w:tc>
          <w:tcPr>
            <w:tcW w:type="dxa" w:w="2160"/>
          </w:tcPr>
          <w:p>
            <w:r>
              <w:t>Replacement</w:t>
            </w:r>
          </w:p>
        </w:tc>
        <w:tc>
          <w:tcPr>
            <w:tcW w:type="dxa" w:w="2160"/>
          </w:tcPr>
          <w:p>
            <w:r>
              <w:t>Placeholder H1/H2 → actual 26-rater study description</w:t>
            </w:r>
          </w:p>
        </w:tc>
      </w:tr>
      <w:tr>
        <w:tc>
          <w:tcPr>
            <w:tcW w:type="dxa" w:w="2160"/>
          </w:tcPr>
          <w:p>
            <w:r>
              <w:t>3</w:t>
            </w:r>
          </w:p>
        </w:tc>
        <w:tc>
          <w:tcPr>
            <w:tcW w:type="dxa" w:w="2160"/>
          </w:tcPr>
          <w:p>
            <w:r>
              <w:t>Table 5 data</w:t>
            </w:r>
          </w:p>
        </w:tc>
        <w:tc>
          <w:tcPr>
            <w:tcW w:type="dxa" w:w="2160"/>
          </w:tcPr>
          <w:p>
            <w:r>
              <w:t>Replacement</w:t>
            </w:r>
          </w:p>
        </w:tc>
        <w:tc>
          <w:tcPr>
            <w:tcW w:type="dxa" w:w="2160"/>
          </w:tcPr>
          <w:p>
            <w:r>
              <w:t>[pending]/[TBD] → actual means ± SD and % High</w:t>
            </w:r>
          </w:p>
        </w:tc>
      </w:tr>
      <w:tr>
        <w:tc>
          <w:tcPr>
            <w:tcW w:type="dxa" w:w="2160"/>
          </w:tcPr>
          <w:p>
            <w:r>
              <w:t>4</w:t>
            </w:r>
          </w:p>
        </w:tc>
        <w:tc>
          <w:tcPr>
            <w:tcW w:type="dxa" w:w="2160"/>
          </w:tcPr>
          <w:p>
            <w:r>
              <w:t>Table 5 heading</w:t>
            </w:r>
          </w:p>
        </w:tc>
        <w:tc>
          <w:tcPr>
            <w:tcW w:type="dxa" w:w="2160"/>
          </w:tcPr>
          <w:p>
            <w:r>
              <w:t>Edit</w:t>
            </w:r>
          </w:p>
        </w:tc>
        <w:tc>
          <w:tcPr>
            <w:tcW w:type="dxa" w:w="2160"/>
          </w:tcPr>
          <w:p>
            <w:r>
              <w:t>Removed "— human rater calibration pending"</w:t>
            </w:r>
          </w:p>
        </w:tc>
      </w:tr>
      <w:tr>
        <w:tc>
          <w:tcPr>
            <w:tcW w:type="dxa" w:w="2160"/>
          </w:tcPr>
          <w:p>
            <w:r>
              <w:t>5</w:t>
            </w:r>
          </w:p>
        </w:tc>
        <w:tc>
          <w:tcPr>
            <w:tcW w:type="dxa" w:w="2160"/>
          </w:tcPr>
          <w:p>
            <w:r>
              <w:t>§5.4 placeholder</w:t>
            </w:r>
          </w:p>
        </w:tc>
        <w:tc>
          <w:tcPr>
            <w:tcW w:type="dxa" w:w="2160"/>
          </w:tcPr>
          <w:p>
            <w:r>
              <w:t>Replacement</w:t>
            </w:r>
          </w:p>
        </w:tc>
        <w:tc>
          <w:tcPr>
            <w:tcW w:type="dxa" w:w="2160"/>
          </w:tcPr>
          <w:p>
            <w:r>
              <w:t>To-do list → actual results paragraph</w:t>
            </w:r>
          </w:p>
        </w:tc>
      </w:tr>
      <w:tr>
        <w:tc>
          <w:tcPr>
            <w:tcW w:type="dxa" w:w="2160"/>
          </w:tcPr>
          <w:p>
            <w:r>
              <w:t>6</w:t>
            </w:r>
          </w:p>
        </w:tc>
        <w:tc>
          <w:tcPr>
            <w:tcW w:type="dxa" w:w="2160"/>
          </w:tcPr>
          <w:p>
            <w:r>
              <w:t>§6.3 new para</w:t>
            </w:r>
          </w:p>
        </w:tc>
        <w:tc>
          <w:tcPr>
            <w:tcW w:type="dxa" w:w="2160"/>
          </w:tcPr>
          <w:p>
            <w:r>
              <w:t>Insertion</w:t>
            </w:r>
          </w:p>
        </w:tc>
        <w:tc>
          <w:tcPr>
            <w:tcW w:type="dxa" w:w="2160"/>
          </w:tcPr>
          <w:p>
            <w:r>
              <w:t>New paragraph integrating teacher + LLM results</w:t>
            </w:r>
          </w:p>
        </w:tc>
      </w:tr>
      <w:tr>
        <w:tc>
          <w:tcPr>
            <w:tcW w:type="dxa" w:w="2160"/>
          </w:tcPr>
          <w:p>
            <w:r>
              <w:t>7</w:t>
            </w:r>
          </w:p>
        </w:tc>
        <w:tc>
          <w:tcPr>
            <w:tcW w:type="dxa" w:w="2160"/>
          </w:tcPr>
          <w:p>
            <w:r>
              <w:t>§6.4 Limitation 5</w:t>
            </w:r>
          </w:p>
        </w:tc>
        <w:tc>
          <w:tcPr>
            <w:tcW w:type="dxa" w:w="2160"/>
          </w:tcPr>
          <w:p>
            <w:r>
              <w:t>Replacement</w:t>
            </w:r>
          </w:p>
        </w:tc>
        <w:tc>
          <w:tcPr>
            <w:tcW w:type="dxa" w:w="2160"/>
          </w:tcPr>
          <w:p>
            <w:r>
              <w:t>"Not complete" → "complete but uncalibrated"</w:t>
            </w:r>
          </w:p>
        </w:tc>
      </w:tr>
      <w:tr>
        <w:tc>
          <w:tcPr>
            <w:tcW w:type="dxa" w:w="2160"/>
          </w:tcPr>
          <w:p>
            <w:r>
              <w:t>8</w:t>
            </w:r>
          </w:p>
        </w:tc>
        <w:tc>
          <w:tcPr>
            <w:tcW w:type="dxa" w:w="2160"/>
          </w:tcPr>
          <w:p>
            <w:r>
              <w:t>§7 Future work (2)</w:t>
            </w:r>
          </w:p>
        </w:tc>
        <w:tc>
          <w:tcPr>
            <w:tcW w:type="dxa" w:w="2160"/>
          </w:tcPr>
          <w:p>
            <w:r>
              <w:t>Edit</w:t>
            </w:r>
          </w:p>
        </w:tc>
        <w:tc>
          <w:tcPr>
            <w:tcW w:type="dxa" w:w="2160"/>
          </w:tcPr>
          <w:p>
            <w:r>
              <w:t>"complete calibration" → "calibrated expert re-rating"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