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04D40"/>
          <w:sz w:val="56"/>
          <w:szCs w:val="56"/>
        </w:rPr>
        <w:t xml:space="preserve">STC FRAMEWORK</w:t>
      </w:r>
    </w:p>
    <w:p>
      <w:pPr>
        <w:spacing w:after="120"/>
        <w:jc w:val="center"/>
      </w:pPr>
      <w:r>
        <w:rPr>
          <w:rFonts w:ascii="Arial" w:cs="Arial" w:eastAsia="Arial" w:hAnsi="Arial"/>
          <w:color w:val="00695C"/>
          <w:sz w:val="36"/>
          <w:szCs w:val="36"/>
        </w:rPr>
        <w:t xml:space="preserve">Data Governance Framework</w:t>
      </w:r>
    </w:p>
    <w:p>
      <w:pPr>
        <w:spacing w:after="80"/>
        <w:jc w:val="center"/>
      </w:pPr>
      <w:r>
        <w:rPr>
          <w:rFonts w:ascii="Arial" w:cs="Arial" w:eastAsia="Arial" w:hAnsi="Arial"/>
          <w:color w:val="FF6F00"/>
          <w:sz w:val="28"/>
          <w:szCs w:val="28"/>
        </w:rPr>
        <w:t xml:space="preserve">AI System Data Management Blueprint</w:t>
      </w:r>
    </w:p>
    <w:p>
      <w:pPr>
        <w:spacing w:after="400"/>
        <w:jc w:val="center"/>
      </w:pPr>
      <w:r>
        <w:rPr>
          <w:rFonts w:ascii="Arial" w:cs="Arial" w:eastAsia="Arial" w:hAnsi="Arial"/>
          <w:color w:val="757575"/>
          <w:sz w:val="22"/>
          <w:szCs w:val="22"/>
        </w:rPr>
        <w:t xml:space="preserve">Lineage · Catalog · Quality · Model Management · Stewardship · Rights</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pPr>
        <w:jc w:val="center"/>
      </w:pPr>
      <w:r>
        <w:rPr>
          <w:rFonts w:ascii="Arial" w:cs="Arial" w:eastAsia="Arial" w:hAnsi="Arial"/>
          <w:color w:val="757575"/>
          <w:sz w:val="20"/>
          <w:szCs w:val="20"/>
        </w:rPr>
        <w:t xml:space="preserve">For CDO, Data Governance Council, and Regulatory Examination</w:t>
      </w:r>
    </w:p>
    <w:p>
      <w:r>
        <w:br w:type="page"/>
      </w:r>
    </w:p>
    <w:p>
      <w:pPr>
        <w:pStyle w:val="Heading1"/>
        <w:spacing w:before="360" w:after="200"/>
      </w:pPr>
      <w:r>
        <w:rPr>
          <w:rFonts w:ascii="Arial" w:cs="Arial" w:eastAsia="Arial" w:hAnsi="Arial"/>
          <w:b/>
          <w:bCs/>
          <w:color w:val="004D40"/>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004D40"/>
          <w:sz w:val="36"/>
          <w:szCs w:val="36"/>
        </w:rPr>
        <w:t xml:space="preserve">1. Data Governance Structure</w:t>
      </w:r>
    </w:p>
    <w:p>
      <w:pPr>
        <w:spacing w:after="120"/>
      </w:pPr>
      <w:r>
        <w:rPr>
          <w:rFonts w:ascii="Arial" w:cs="Arial" w:eastAsia="Arial" w:hAnsi="Arial"/>
          <w:sz w:val="22"/>
          <w:szCs w:val="22"/>
        </w:rPr>
        <w:t xml:space="preserve">This framework establishes data governance for the STC AI system, covering data flowing into, through, and out of the AI pipeline. Aligned with DAMA-DMBOK2, DCAM (EDM Council), and regulatory requirements (BCBS 239, FINRA 4512, GDPR).</w:t>
      </w:r>
    </w:p>
    <w:p>
      <w:pPr>
        <w:spacing w:after="80"/>
      </w:pPr>
    </w:p>
    <w:p>
      <w:pPr>
        <w:pStyle w:val="Heading2"/>
        <w:spacing w:before="280" w:after="160"/>
      </w:pPr>
      <w:r>
        <w:rPr>
          <w:rFonts w:ascii="Arial" w:cs="Arial" w:eastAsia="Arial" w:hAnsi="Arial"/>
          <w:b/>
          <w:bCs/>
          <w:color w:val="00695C"/>
          <w:sz w:val="28"/>
          <w:szCs w:val="28"/>
        </w:rPr>
        <w:t xml:space="preserve">1.1 Data Stewardship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489"/>
        <w:gridCol w:w="1702"/>
        <w:gridCol w:w="2340"/>
        <w:gridCol w:w="2340"/>
      </w:tblGrid>
      <w:tr>
        <w:trPr>
          <w:tblHeader/>
        </w:trPr>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Data Domain</w:t>
            </w:r>
          </w:p>
        </w:tc>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Data Steward</w:t>
            </w:r>
          </w:p>
        </w:tc>
        <w:tc>
          <w:tcPr>
            <w:tcW w:type="dxa" w:w="170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Accountable Executive</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Quality SLA</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Client Data</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Client Data Steward</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Head of Client Services</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PII, account data, preferences, KYC</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99.5% accuracy, 24h freshness</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Market Data</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Market Data Steward</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Head of Research</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Prices, indices, benchmarks, news</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99.9% accuracy, real-time</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Regulatory Filings</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Regulatory Data Steward</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Chief Compliance Officer</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SEC filings, FINRA reports, regulatory docs</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100% accuracy, within 24h of publication</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Internal Documents</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Document Steward</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Global CIO</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Strategy docs, internal reports, policies</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95% accuracy, version-controlled</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AI Model Artifacts</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ML Engineering Lead</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Global CIO</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Models, embeddings, prompts, eval datasets</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Versioned, provenance-verified</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Audit &amp; Compliance Data</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Compliance Data Steward</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CISO</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Audit trails, control evidence, exceptions</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completeness, immutable</w:t>
            </w:r>
          </w:p>
        </w:tc>
      </w:tr>
    </w:tbl>
    <w:p>
      <w:pPr>
        <w:spacing w:after="80"/>
      </w:pPr>
    </w:p>
    <w:p>
      <w:pPr>
        <w:pStyle w:val="Heading2"/>
        <w:spacing w:before="280" w:after="160"/>
      </w:pPr>
      <w:r>
        <w:rPr>
          <w:rFonts w:ascii="Arial" w:cs="Arial" w:eastAsia="Arial" w:hAnsi="Arial"/>
          <w:b/>
          <w:bCs/>
          <w:color w:val="00695C"/>
          <w:sz w:val="28"/>
          <w:szCs w:val="28"/>
        </w:rPr>
        <w:t xml:space="preserve">1.2 Data Governance Council</w:t>
      </w:r>
    </w:p>
    <w:p>
      <w:pPr>
        <w:spacing w:after="100"/>
      </w:pPr>
      <w:r>
        <w:rPr>
          <w:rFonts w:ascii="Arial" w:cs="Arial" w:eastAsia="Arial" w:hAnsi="Arial"/>
          <w:b/>
          <w:bCs/>
          <w:sz w:val="22"/>
          <w:szCs w:val="22"/>
        </w:rPr>
        <w:t xml:space="preserve">Chair: </w:t>
      </w:r>
      <w:r>
        <w:rPr>
          <w:rFonts w:ascii="Arial" w:cs="Arial" w:eastAsia="Arial" w:hAnsi="Arial"/>
          <w:sz w:val="22"/>
          <w:szCs w:val="22"/>
        </w:rPr>
        <w:t xml:space="preserve">CDO (or Global CIO if CDO role not designated)</w:t>
      </w:r>
    </w:p>
    <w:p>
      <w:pPr>
        <w:spacing w:after="100"/>
      </w:pPr>
      <w:r>
        <w:rPr>
          <w:rFonts w:ascii="Arial" w:cs="Arial" w:eastAsia="Arial" w:hAnsi="Arial"/>
          <w:b/>
          <w:bCs/>
          <w:sz w:val="22"/>
          <w:szCs w:val="22"/>
        </w:rPr>
        <w:t xml:space="preserve">Members: </w:t>
      </w:r>
      <w:r>
        <w:rPr>
          <w:rFonts w:ascii="Arial" w:cs="Arial" w:eastAsia="Arial" w:hAnsi="Arial"/>
          <w:sz w:val="22"/>
          <w:szCs w:val="22"/>
        </w:rPr>
        <w:t xml:space="preserve">All data stewards, DPO, CISO representative, Legal representative, AI Governance Committee representative.</w:t>
      </w:r>
    </w:p>
    <w:p>
      <w:pPr>
        <w:spacing w:after="100"/>
      </w:pPr>
      <w:r>
        <w:rPr>
          <w:rFonts w:ascii="Arial" w:cs="Arial" w:eastAsia="Arial" w:hAnsi="Arial"/>
          <w:b/>
          <w:bCs/>
          <w:sz w:val="22"/>
          <w:szCs w:val="22"/>
        </w:rPr>
        <w:t xml:space="preserve">Cadence: </w:t>
      </w:r>
      <w:r>
        <w:rPr>
          <w:rFonts w:ascii="Arial" w:cs="Arial" w:eastAsia="Arial" w:hAnsi="Arial"/>
          <w:sz w:val="22"/>
          <w:szCs w:val="22"/>
        </w:rPr>
        <w:t xml:space="preserve">Monthly, with quarterly deep-dive on AI data governance.</w:t>
      </w:r>
    </w:p>
    <w:p>
      <w:pPr>
        <w:spacing w:after="100"/>
      </w:pPr>
      <w:r>
        <w:rPr>
          <w:rFonts w:ascii="Arial" w:cs="Arial" w:eastAsia="Arial" w:hAnsi="Arial"/>
          <w:b/>
          <w:bCs/>
          <w:sz w:val="22"/>
          <w:szCs w:val="22"/>
        </w:rPr>
        <w:t xml:space="preserve">Responsibilities: </w:t>
      </w:r>
      <w:r>
        <w:rPr>
          <w:rFonts w:ascii="Arial" w:cs="Arial" w:eastAsia="Arial" w:hAnsi="Arial"/>
          <w:sz w:val="22"/>
          <w:szCs w:val="22"/>
        </w:rPr>
        <w:t xml:space="preserve">Approve data quality standards, resolve cross-domain data conflicts, approve data contracts, oversee data rights fulfillment, review data catalog completeness, approve new data source onboarding.</w:t>
      </w:r>
    </w:p>
    <w:p>
      <w:r>
        <w:br w:type="page"/>
      </w:r>
    </w:p>
    <w:p>
      <w:pPr>
        <w:pStyle w:val="Heading1"/>
        <w:spacing w:before="360" w:after="200"/>
      </w:pPr>
      <w:r>
        <w:rPr>
          <w:rFonts w:ascii="Arial" w:cs="Arial" w:eastAsia="Arial" w:hAnsi="Arial"/>
          <w:b/>
          <w:bCs/>
          <w:color w:val="004D40"/>
          <w:sz w:val="36"/>
          <w:szCs w:val="36"/>
        </w:rPr>
        <w:t xml:space="preserve">2. End-to-End Data Lineage</w:t>
      </w:r>
    </w:p>
    <w:p>
      <w:pPr>
        <w:spacing w:after="120"/>
      </w:pPr>
      <w:r>
        <w:rPr>
          <w:rFonts w:ascii="Arial" w:cs="Arial" w:eastAsia="Arial" w:hAnsi="Arial"/>
          <w:sz w:val="22"/>
          <w:szCs w:val="22"/>
        </w:rPr>
        <w:t xml:space="preserve">Data lineage tracks the complete journey of data from source to AI response. Every response must be traceable back to its source documents, the transformations applied, and the governance decisions made along the way. This satisfies EU AI Act Article 12 (record-keeping), FINRA Rule 3110 (supervision), and BCBS 239 (data aggregation).</w:t>
      </w:r>
    </w:p>
    <w:p>
      <w:pPr>
        <w:spacing w:after="80"/>
      </w:pPr>
    </w:p>
    <w:p>
      <w:pPr>
        <w:pStyle w:val="Heading2"/>
        <w:spacing w:before="280" w:after="160"/>
      </w:pPr>
      <w:r>
        <w:rPr>
          <w:rFonts w:ascii="Arial" w:cs="Arial" w:eastAsia="Arial" w:hAnsi="Arial"/>
          <w:b/>
          <w:bCs/>
          <w:color w:val="00695C"/>
          <w:sz w:val="28"/>
          <w:szCs w:val="28"/>
        </w:rPr>
        <w:t xml:space="preserve">2.1 Lineage Graph</w:t>
      </w:r>
    </w:p>
    <w:p>
      <w:pPr>
        <w:spacing w:after="120"/>
      </w:pPr>
      <w:r>
        <w:rPr>
          <w:rFonts w:ascii="Arial" w:cs="Arial" w:eastAsia="Arial" w:hAnsi="Arial"/>
          <w:sz w:val="22"/>
          <w:szCs w:val="22"/>
        </w:rPr>
        <w:t xml:space="preserve">Each request produces a lineage record connecting 8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2"/>
        <w:gridCol w:w="1376"/>
        <w:gridCol w:w="4405"/>
        <w:gridCol w:w="1927"/>
      </w:tblGrid>
      <w:tr>
        <w:trPr>
          <w:tblHeader/>
        </w:trPr>
        <w:tc>
          <w:tcPr>
            <w:tcW w:type="dxa" w:w="165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37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440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1927"/>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Captured By</w:t>
            </w:r>
          </w:p>
        </w:tc>
      </w:tr>
      <w:tr>
        <w:tc>
          <w:tcPr>
            <w:tcW w:type="dxa" w:w="16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 Source Document</w:t>
            </w:r>
          </w:p>
        </w:tc>
        <w:tc>
          <w:tcPr>
            <w:tcW w:type="dxa" w:w="13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Asset</w:t>
            </w:r>
          </w:p>
        </w:tc>
        <w:tc>
          <w:tcPr>
            <w:tcW w:type="dxa" w:w="440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document_id, source_system, ingestion_date, version, classification_tier, data_steward</w:t>
            </w:r>
          </w:p>
        </w:tc>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Catalog</w:t>
            </w:r>
          </w:p>
        </w:tc>
      </w:tr>
      <w:tr>
        <w:tc>
          <w:tcPr>
            <w:tcW w:type="dxa" w:w="16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2. Embedding</w:t>
            </w:r>
          </w:p>
        </w:tc>
        <w:tc>
          <w:tcPr>
            <w:tcW w:type="dxa" w:w="13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Transformation</w:t>
            </w:r>
          </w:p>
        </w:tc>
        <w:tc>
          <w:tcPr>
            <w:tcW w:type="dxa" w:w="440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embedding_model_id, model_version, embedding_dimensions, chunk_id, chunk_strategy</w:t>
            </w:r>
          </w:p>
        </w:tc>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Embedding Pipeline</w:t>
            </w:r>
          </w:p>
        </w:tc>
      </w:tr>
      <w:tr>
        <w:tc>
          <w:tcPr>
            <w:tcW w:type="dxa" w:w="16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3. Vector Index</w:t>
            </w:r>
          </w:p>
        </w:tc>
        <w:tc>
          <w:tcPr>
            <w:tcW w:type="dxa" w:w="13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Store</w:t>
            </w:r>
          </w:p>
        </w:tc>
        <w:tc>
          <w:tcPr>
            <w:tcW w:type="dxa" w:w="440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collection_name, index_version, total_vectors, last_updated</w:t>
            </w:r>
          </w:p>
        </w:tc>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Qdrant Metadata</w:t>
            </w:r>
          </w:p>
        </w:tc>
      </w:tr>
      <w:tr>
        <w:tc>
          <w:tcPr>
            <w:tcW w:type="dxa" w:w="16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4. Retrieval</w:t>
            </w:r>
          </w:p>
        </w:tc>
        <w:tc>
          <w:tcPr>
            <w:tcW w:type="dxa" w:w="13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Query</w:t>
            </w:r>
          </w:p>
        </w:tc>
        <w:tc>
          <w:tcPr>
            <w:tcW w:type="dxa" w:w="440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query_embedding_hash, top_k, similarity_scores, retrieved_doc_ids, retrieval_latency_ms</w:t>
            </w:r>
          </w:p>
        </w:tc>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Stalwart Agent</w:t>
            </w:r>
          </w:p>
        </w:tc>
      </w:tr>
      <w:tr>
        <w:tc>
          <w:tcPr>
            <w:tcW w:type="dxa" w:w="16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5. Context Assembly</w:t>
            </w:r>
          </w:p>
        </w:tc>
        <w:tc>
          <w:tcPr>
            <w:tcW w:type="dxa" w:w="13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440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context_tokens, docs_included, docs_excluded_reason, pii_redactions_count</w:t>
            </w:r>
          </w:p>
        </w:tc>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Stalwart Agent</w:t>
            </w:r>
          </w:p>
        </w:tc>
      </w:tr>
      <w:tr>
        <w:tc>
          <w:tcPr>
            <w:tcW w:type="dxa" w:w="16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6. LLM Generation</w:t>
            </w:r>
          </w:p>
        </w:tc>
        <w:tc>
          <w:tcPr>
            <w:tcW w:type="dxa" w:w="13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Model Inference</w:t>
            </w:r>
          </w:p>
        </w:tc>
        <w:tc>
          <w:tcPr>
            <w:tcW w:type="dxa" w:w="440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model_id, model_version, provider, prompt_template_id, prompt_version, temperature, tokens_in, tokens_out</w:t>
            </w:r>
          </w:p>
        </w:tc>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Gateway + Langfuse</w:t>
            </w:r>
          </w:p>
        </w:tc>
      </w:tr>
      <w:tr>
        <w:tc>
          <w:tcPr>
            <w:tcW w:type="dxa" w:w="16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7. Critic Validation</w:t>
            </w:r>
          </w:p>
        </w:tc>
        <w:tc>
          <w:tcPr>
            <w:tcW w:type="dxa" w:w="13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Governance</w:t>
            </w:r>
          </w:p>
        </w:tc>
        <w:tc>
          <w:tcPr>
            <w:tcW w:type="dxa" w:w="440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validators_applied, verdict (pass/fail), violations_detected, escalation_level</w:t>
            </w:r>
          </w:p>
        </w:tc>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Critic Engine</w:t>
            </w:r>
          </w:p>
        </w:tc>
      </w:tr>
      <w:tr>
        <w:tc>
          <w:tcPr>
            <w:tcW w:type="dxa" w:w="16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8. Response Delivery</w:t>
            </w:r>
          </w:p>
        </w:tc>
        <w:tc>
          <w:tcPr>
            <w:tcW w:type="dxa" w:w="13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440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response_hash, pii_restorations_count, delivery_latency_ms, session_id</w:t>
            </w:r>
          </w:p>
        </w:tc>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Stalwart Agent</w:t>
            </w:r>
          </w:p>
        </w:tc>
      </w:tr>
    </w:tbl>
    <w:p>
      <w:pPr>
        <w:spacing w:after="80"/>
      </w:pPr>
    </w:p>
    <w:p>
      <w:pPr>
        <w:pStyle w:val="Heading2"/>
        <w:spacing w:before="280" w:after="160"/>
      </w:pPr>
      <w:r>
        <w:rPr>
          <w:rFonts w:ascii="Arial" w:cs="Arial" w:eastAsia="Arial" w:hAnsi="Arial"/>
          <w:b/>
          <w:bCs/>
          <w:color w:val="00695C"/>
          <w:sz w:val="28"/>
          <w:szCs w:val="28"/>
        </w:rPr>
        <w:t xml:space="preserve">2.2 Lineage Record Schema</w:t>
      </w:r>
    </w:p>
    <w:p>
      <w:pPr>
        <w:shd w:fill="ECEFF1" w:val="clear"/>
        <w:spacing w:after="60"/>
        <w:ind w:left="360"/>
      </w:pPr>
      <w:r>
        <w:rPr>
          <w:rFonts w:ascii="Courier New" w:cs="Courier New" w:eastAsia="Courier New" w:hAnsi="Courier New"/>
          <w:sz w:val="18"/>
          <w:szCs w:val="18"/>
        </w:rPr>
        <w:t xml:space="preserve">lineage_id: str          # Unique ID (= trace_id from OTel)</w:t>
      </w:r>
    </w:p>
    <w:p>
      <w:pPr>
        <w:shd w:fill="ECEFF1" w:val="clear"/>
        <w:spacing w:after="60"/>
        <w:ind w:left="360"/>
      </w:pPr>
      <w:r>
        <w:rPr>
          <w:rFonts w:ascii="Courier New" w:cs="Courier New" w:eastAsia="Courier New" w:hAnsi="Courier New"/>
          <w:sz w:val="18"/>
          <w:szCs w:val="18"/>
        </w:rPr>
        <w:t xml:space="preserve">request_id: str          # Correlates with audit trail</w:t>
      </w:r>
    </w:p>
    <w:p>
      <w:pPr>
        <w:shd w:fill="ECEFF1" w:val="clear"/>
        <w:spacing w:after="60"/>
        <w:ind w:left="360"/>
      </w:pPr>
      <w:r>
        <w:rPr>
          <w:rFonts w:ascii="Courier New" w:cs="Courier New" w:eastAsia="Courier New" w:hAnsi="Courier New"/>
          <w:sz w:val="18"/>
          <w:szCs w:val="18"/>
        </w:rPr>
        <w:t xml:space="preserve">session_id: str          # User session</w:t>
      </w:r>
    </w:p>
    <w:p>
      <w:pPr>
        <w:shd w:fill="ECEFF1" w:val="clear"/>
        <w:spacing w:after="60"/>
        <w:ind w:left="360"/>
      </w:pPr>
      <w:r>
        <w:rPr>
          <w:rFonts w:ascii="Courier New" w:cs="Courier New" w:eastAsia="Courier New" w:hAnsi="Courier New"/>
          <w:sz w:val="18"/>
          <w:szCs w:val="18"/>
        </w:rPr>
        <w:t xml:space="preserve">timestamp: ISO-8601</w:t>
      </w:r>
    </w:p>
    <w:p>
      <w:pPr>
        <w:shd w:fill="ECEFF1" w:val="clear"/>
        <w:spacing w:after="60"/>
        <w:ind w:left="360"/>
      </w:pPr>
      <w:r>
        <w:rPr>
          <w:rFonts w:ascii="Courier New" w:cs="Courier New" w:eastAsia="Courier New" w:hAnsi="Courier New"/>
          <w:sz w:val="18"/>
          <w:szCs w:val="18"/>
        </w:rPr>
        <w:t xml:space="preserve">source_documents: [{doc_id, version, collection, similarity_score}]</w:t>
      </w:r>
    </w:p>
    <w:p>
      <w:pPr>
        <w:shd w:fill="ECEFF1" w:val="clear"/>
        <w:spacing w:after="60"/>
        <w:ind w:left="360"/>
      </w:pPr>
      <w:r>
        <w:rPr>
          <w:rFonts w:ascii="Courier New" w:cs="Courier New" w:eastAsia="Courier New" w:hAnsi="Courier New"/>
          <w:sz w:val="18"/>
          <w:szCs w:val="18"/>
        </w:rPr>
        <w:t xml:space="preserve">embedding: {model_id, model_version, chunk_strategy}</w:t>
      </w:r>
    </w:p>
    <w:p>
      <w:pPr>
        <w:shd w:fill="ECEFF1" w:val="clear"/>
        <w:spacing w:after="60"/>
        <w:ind w:left="360"/>
      </w:pPr>
      <w:r>
        <w:rPr>
          <w:rFonts w:ascii="Courier New" w:cs="Courier New" w:eastAsia="Courier New" w:hAnsi="Courier New"/>
          <w:sz w:val="18"/>
          <w:szCs w:val="18"/>
        </w:rPr>
        <w:t xml:space="preserve">retrieval: {query_hash, top_k, docs_retrieved, docs_used}</w:t>
      </w:r>
    </w:p>
    <w:p>
      <w:pPr>
        <w:shd w:fill="ECEFF1" w:val="clear"/>
        <w:spacing w:after="60"/>
        <w:ind w:left="360"/>
      </w:pPr>
      <w:r>
        <w:rPr>
          <w:rFonts w:ascii="Courier New" w:cs="Courier New" w:eastAsia="Courier New" w:hAnsi="Courier New"/>
          <w:sz w:val="18"/>
          <w:szCs w:val="18"/>
        </w:rPr>
        <w:t xml:space="preserve">generation: {model_id, provider, prompt_template, prompt_version,</w:t>
      </w:r>
    </w:p>
    <w:p>
      <w:pPr>
        <w:shd w:fill="ECEFF1" w:val="clear"/>
        <w:spacing w:after="60"/>
        <w:ind w:left="360"/>
      </w:pPr>
      <w:r>
        <w:rPr>
          <w:rFonts w:ascii="Courier New" w:cs="Courier New" w:eastAsia="Courier New" w:hAnsi="Courier New"/>
          <w:sz w:val="18"/>
          <w:szCs w:val="18"/>
        </w:rPr>
        <w:t xml:space="preserve">             tokens_in, tokens_out, temperature, latency_ms}</w:t>
      </w:r>
    </w:p>
    <w:p>
      <w:pPr>
        <w:shd w:fill="ECEFF1" w:val="clear"/>
        <w:spacing w:after="60"/>
        <w:ind w:left="360"/>
      </w:pPr>
      <w:r>
        <w:rPr>
          <w:rFonts w:ascii="Courier New" w:cs="Courier New" w:eastAsia="Courier New" w:hAnsi="Courier New"/>
          <w:sz w:val="18"/>
          <w:szCs w:val="18"/>
        </w:rPr>
        <w:t xml:space="preserve">validation: {validators, verdict, violations, escalation}</w:t>
      </w:r>
    </w:p>
    <w:p>
      <w:pPr>
        <w:shd w:fill="ECEFF1" w:val="clear"/>
        <w:spacing w:after="60"/>
        <w:ind w:left="360"/>
      </w:pPr>
      <w:r>
        <w:rPr>
          <w:rFonts w:ascii="Courier New" w:cs="Courier New" w:eastAsia="Courier New" w:hAnsi="Courier New"/>
          <w:sz w:val="18"/>
          <w:szCs w:val="18"/>
        </w:rPr>
        <w:t xml:space="preserve">classification: {data_tier, pii_detected, pii_redacted}</w:t>
      </w:r>
    </w:p>
    <w:p>
      <w:pPr>
        <w:spacing w:after="80"/>
      </w:pPr>
    </w:p>
    <w:p>
      <w:pPr>
        <w:spacing w:after="120"/>
      </w:pPr>
      <w:r>
        <w:rPr>
          <w:rFonts w:ascii="Arial" w:cs="Arial" w:eastAsia="Arial" w:hAnsi="Arial"/>
          <w:sz w:val="22"/>
          <w:szCs w:val="22"/>
        </w:rPr>
        <w:t xml:space="preserve">Lineage records are stored alongside audit events and are queryable by: document_id (which responses used this document?), model_id (which responses used this model?), session_id (full lineage for a user session), and time range (all lineage in a window).</w:t>
      </w:r>
    </w:p>
    <w:p>
      <w:r>
        <w:br w:type="page"/>
      </w:r>
    </w:p>
    <w:p>
      <w:pPr>
        <w:pStyle w:val="Heading1"/>
        <w:spacing w:before="360" w:after="200"/>
      </w:pPr>
      <w:r>
        <w:rPr>
          <w:rFonts w:ascii="Arial" w:cs="Arial" w:eastAsia="Arial" w:hAnsi="Arial"/>
          <w:b/>
          <w:bCs/>
          <w:color w:val="004D40"/>
          <w:sz w:val="36"/>
          <w:szCs w:val="36"/>
        </w:rPr>
        <w:t xml:space="preserve">3. Data Catalog</w:t>
      </w:r>
    </w:p>
    <w:p>
      <w:pPr>
        <w:spacing w:after="120"/>
      </w:pPr>
      <w:r>
        <w:rPr>
          <w:rFonts w:ascii="Arial" w:cs="Arial" w:eastAsia="Arial" w:hAnsi="Arial"/>
          <w:sz w:val="22"/>
          <w:szCs w:val="22"/>
        </w:rPr>
        <w:t xml:space="preserve">The data catalog is the single source of truth for all data assets in the STC system. It provides metadata management, discovery, and governance for documents, embeddings, models, prompts, and evaluation datasets.</w:t>
      </w:r>
    </w:p>
    <w:p>
      <w:pPr>
        <w:spacing w:after="80"/>
      </w:pPr>
    </w:p>
    <w:p>
      <w:pPr>
        <w:pStyle w:val="Heading2"/>
        <w:spacing w:before="280" w:after="160"/>
      </w:pPr>
      <w:r>
        <w:rPr>
          <w:rFonts w:ascii="Arial" w:cs="Arial" w:eastAsia="Arial" w:hAnsi="Arial"/>
          <w:b/>
          <w:bCs/>
          <w:color w:val="00695C"/>
          <w:sz w:val="28"/>
          <w:szCs w:val="28"/>
        </w:rPr>
        <w:t xml:space="preserve">3.1 Catalog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3404"/>
        <w:gridCol w:w="1915"/>
        <w:gridCol w:w="2765"/>
      </w:tblGrid>
      <w:tr>
        <w:trPr>
          <w:tblHeader/>
        </w:trPr>
        <w:tc>
          <w:tcPr>
            <w:tcW w:type="dxa" w:w="127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340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Metadata Fields</w:t>
            </w:r>
          </w:p>
        </w:tc>
        <w:tc>
          <w:tcPr>
            <w:tcW w:type="dxa" w:w="191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6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Lifecycle</w:t>
            </w:r>
          </w:p>
        </w:tc>
      </w:tr>
      <w:tr>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Document</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doc_id, title, source_system, ingestion_date, version, classification_tier, data_steward, quality_score, freshness_date, format, size_bytes</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ACME Corp 10-K FY2024</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Ingest → Index → Active → Stale → Archive → Purge</w:t>
            </w:r>
          </w:p>
        </w:tc>
      </w:tr>
      <w:tr>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Collection</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collection_id, name, description, document_count, embedding_model, created_at, last_updated, schema_version</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stc_financial_docs</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Create → Active → Reindex → Deprecate</w:t>
            </w:r>
          </w:p>
        </w:tc>
      </w:tr>
      <w:tr>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model_id, name, version, dimensions, source_org, provenance_trust, checksum, eval_scores</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BAAI/bge-small-en-v1.5</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Evaluate → Approve → Deploy → Monitor → Retire</w:t>
            </w:r>
          </w:p>
        </w:tc>
      </w:tr>
      <w:tr>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LLM Model</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model_id, provider, version, capabilities, safety_eval, cost_per_token, data_tier_approved, provenance_trust</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anthropic/claude-sonnet</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Evaluate → Approve → Deploy → Monitor → Retire</w:t>
            </w:r>
          </w:p>
        </w:tc>
      </w:tr>
      <w:tr>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Prompt Template</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template_id, version, purpose, author, last_modified, eval_score, linked_model_ids</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financial_qa_v3</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Author → Review → Deploy → Version → Retire</w:t>
            </w:r>
          </w:p>
        </w:tc>
      </w:tr>
      <w:tr>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Evaluation Dataset</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dataset_id, name, version, question_count, categories, sme_reviewer, last_reviewed</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stc_eval_suite_v2</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Create → Review → Approve → Active → Update</w:t>
            </w:r>
          </w:p>
        </w:tc>
      </w:tr>
    </w:tbl>
    <w:p>
      <w:pPr>
        <w:spacing w:after="80"/>
      </w:pPr>
    </w:p>
    <w:p>
      <w:pPr>
        <w:pStyle w:val="Heading2"/>
        <w:spacing w:before="280" w:after="160"/>
      </w:pPr>
      <w:r>
        <w:rPr>
          <w:rFonts w:ascii="Arial" w:cs="Arial" w:eastAsia="Arial" w:hAnsi="Arial"/>
          <w:b/>
          <w:bCs/>
          <w:color w:val="00695C"/>
          <w:sz w:val="28"/>
          <w:szCs w:val="28"/>
        </w:rPr>
        <w:t xml:space="preserve">3.2 Freshness &amp; Staleness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680"/>
        <w:gridCol w:w="1680"/>
        <w:gridCol w:w="2400"/>
        <w:gridCol w:w="1680"/>
      </w:tblGrid>
      <w:tr>
        <w:trPr>
          <w:tblHeader/>
        </w:trPr>
        <w:tc>
          <w:tcPr>
            <w:tcW w:type="dxa" w:w="192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68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Freshness SLA</w:t>
            </w:r>
          </w:p>
        </w:tc>
        <w:tc>
          <w:tcPr>
            <w:tcW w:type="dxa" w:w="168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Stale After</w:t>
            </w:r>
          </w:p>
        </w:tc>
        <w:tc>
          <w:tcPr>
            <w:tcW w:type="dxa" w:w="240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Action on Stale</w:t>
            </w:r>
          </w:p>
        </w:tc>
        <w:tc>
          <w:tcPr>
            <w:tcW w:type="dxa" w:w="168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Auto-Archive After</w:t>
            </w:r>
          </w:p>
        </w:tc>
      </w:tr>
      <w:tr>
        <w:tc>
          <w:tcPr>
            <w:tcW w:type="dxa" w:w="192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SEC Filings (10-K, 10-Q)</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Within 24h of publication</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 filing cycle (quarterly)</w:t>
            </w:r>
          </w:p>
        </w:tc>
        <w:tc>
          <w:tcPr>
            <w:tcW w:type="dxa" w:w="24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Flag stale, retain for historical</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Never (regulatory retention)</w:t>
            </w:r>
          </w:p>
        </w:tc>
      </w:tr>
      <w:tr>
        <w:tc>
          <w:tcPr>
            <w:tcW w:type="dxa" w:w="192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Market Data Summaries</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Real-time to 1 hour</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4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Replace with current</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30 days</w:t>
            </w:r>
          </w:p>
        </w:tc>
      </w:tr>
      <w:tr>
        <w:tc>
          <w:tcPr>
            <w:tcW w:type="dxa" w:w="192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Internal Strategy Docs</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At publication</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Version superseded</w:t>
            </w:r>
          </w:p>
        </w:tc>
        <w:tc>
          <w:tcPr>
            <w:tcW w:type="dxa" w:w="24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Archive old version, index new</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 year</w:t>
            </w:r>
          </w:p>
        </w:tc>
      </w:tr>
      <w:tr>
        <w:tc>
          <w:tcPr>
            <w:tcW w:type="dxa" w:w="192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Client Reports</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At generation</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4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Archive</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 year</w:t>
            </w:r>
          </w:p>
        </w:tc>
      </w:tr>
      <w:tr>
        <w:tc>
          <w:tcPr>
            <w:tcW w:type="dxa" w:w="192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Regulatory Guidance</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Within 48h of publication</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When superseded</w:t>
            </w:r>
          </w:p>
        </w:tc>
        <w:tc>
          <w:tcPr>
            <w:tcW w:type="dxa" w:w="24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Flag superseded, retain</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Never</w:t>
            </w:r>
          </w:p>
        </w:tc>
      </w:tr>
    </w:tbl>
    <w:p>
      <w:pPr>
        <w:spacing w:after="80"/>
      </w:pPr>
    </w:p>
    <w:p>
      <w:pPr>
        <w:spacing w:after="120"/>
      </w:pPr>
      <w:r>
        <w:rPr>
          <w:rFonts w:ascii="Arial" w:cs="Arial" w:eastAsia="Arial" w:hAnsi="Arial"/>
          <w:sz w:val="22"/>
          <w:szCs w:val="22"/>
        </w:rPr>
        <w:t xml:space="preserve">The catalog monitors document freshness automatically. Documents past their freshness SLA are flagged, and the data steward is notified. Stale documents are not removed from the vector store automatically (to preserve retrieval continuity) but are down-weighted in retrieval scoring.</w:t>
      </w:r>
    </w:p>
    <w:p>
      <w:r>
        <w:br w:type="page"/>
      </w:r>
    </w:p>
    <w:p>
      <w:pPr>
        <w:pStyle w:val="Heading1"/>
        <w:spacing w:before="360" w:after="200"/>
      </w:pPr>
      <w:r>
        <w:rPr>
          <w:rFonts w:ascii="Arial" w:cs="Arial" w:eastAsia="Arial" w:hAnsi="Arial"/>
          <w:b/>
          <w:bCs/>
          <w:color w:val="004D40"/>
          <w:sz w:val="36"/>
          <w:szCs w:val="36"/>
        </w:rPr>
        <w:t xml:space="preserve">4. Data Quality Framework</w:t>
      </w:r>
    </w:p>
    <w:p>
      <w:pPr>
        <w:spacing w:after="120"/>
      </w:pPr>
      <w:r>
        <w:rPr>
          <w:rFonts w:ascii="Arial" w:cs="Arial" w:eastAsia="Arial" w:hAnsi="Arial"/>
          <w:sz w:val="22"/>
          <w:szCs w:val="22"/>
        </w:rPr>
        <w:t xml:space="preserve">Input data quality directly determines AI output quality. This framework ensures that data entering the STC pipeline meets defined quality standards. Aligned with DAMA-DMBOK2 data quality dimensions and BCBS 239 (accuracy, completeness, timeliness).</w:t>
      </w:r>
    </w:p>
    <w:p>
      <w:pPr>
        <w:spacing w:after="80"/>
      </w:pPr>
    </w:p>
    <w:p>
      <w:pPr>
        <w:pStyle w:val="Heading2"/>
        <w:spacing w:before="280" w:after="160"/>
      </w:pPr>
      <w:r>
        <w:rPr>
          <w:rFonts w:ascii="Arial" w:cs="Arial" w:eastAsia="Arial" w:hAnsi="Arial"/>
          <w:b/>
          <w:bCs/>
          <w:color w:val="00695C"/>
          <w:sz w:val="28"/>
          <w:szCs w:val="28"/>
        </w:rPr>
        <w:t xml:space="preserve">4.1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2127"/>
        <w:gridCol w:w="1915"/>
        <w:gridCol w:w="1702"/>
        <w:gridCol w:w="2552"/>
      </w:tblGrid>
      <w:tr>
        <w:trPr>
          <w:tblHeader/>
        </w:trPr>
        <w:tc>
          <w:tcPr>
            <w:tcW w:type="dxa" w:w="106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127"/>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1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170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5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STC Application</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Accuracy</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correctly represents real-world facts</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Spot-check against authoritative source</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99% for financial data, 95% for other</w:t>
            </w:r>
          </w:p>
        </w:tc>
        <w:tc>
          <w:tcPr>
            <w:tcW w:type="dxa" w:w="25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Document content validation before ingestion</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Completeness</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All required data elements are present</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 of required fields populated</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95% minimum</w:t>
            </w:r>
          </w:p>
        </w:tc>
        <w:tc>
          <w:tcPr>
            <w:tcW w:type="dxa" w:w="25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Document schema validation at ingestion</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Timeliness</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is current and within freshness SLA</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Age vs. freshness policy</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Per document type (see 3.2)</w:t>
            </w:r>
          </w:p>
        </w:tc>
        <w:tc>
          <w:tcPr>
            <w:tcW w:type="dxa" w:w="25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Freshness monitoring in catalog</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Consistency</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Same fact represented the same way across sources</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Cross-source reconciliation</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Zero unresolved conflicts for financial data</w:t>
            </w:r>
          </w:p>
        </w:tc>
        <w:tc>
          <w:tcPr>
            <w:tcW w:type="dxa" w:w="25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Reconciliation engine for overlapping sources</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Uniqueness</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No duplicate records</w:t>
            </w:r>
          </w:p>
        </w:tc>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Deduplication check at ingestion</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Zero duplicates in active collection</w:t>
            </w:r>
          </w:p>
        </w:tc>
        <w:tc>
          <w:tcPr>
            <w:tcW w:type="dxa" w:w="255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Hash-based dedup at ingestion</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Validity</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Data conforms to expected format and rules</w:t>
            </w:r>
          </w:p>
        </w:tc>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Schema validation + business rules</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schema compliance</w:t>
            </w:r>
          </w:p>
        </w:tc>
        <w:tc>
          <w:tcPr>
            <w:tcW w:type="dxa" w:w="255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Ingestion pipeline validation</w:t>
            </w:r>
          </w:p>
        </w:tc>
      </w:tr>
    </w:tbl>
    <w:p>
      <w:pPr>
        <w:spacing w:after="80"/>
      </w:pPr>
    </w:p>
    <w:p>
      <w:pPr>
        <w:pStyle w:val="Heading2"/>
        <w:spacing w:before="280" w:after="160"/>
      </w:pPr>
      <w:r>
        <w:rPr>
          <w:rFonts w:ascii="Arial" w:cs="Arial" w:eastAsia="Arial" w:hAnsi="Arial"/>
          <w:b/>
          <w:bCs/>
          <w:color w:val="00695C"/>
          <w:sz w:val="28"/>
          <w:szCs w:val="28"/>
        </w:rPr>
        <w:t xml:space="preserve">4.2 Quality Scoring</w:t>
      </w:r>
    </w:p>
    <w:p>
      <w:pPr>
        <w:spacing w:after="120"/>
      </w:pPr>
      <w:r>
        <w:rPr>
          <w:rFonts w:ascii="Arial" w:cs="Arial" w:eastAsia="Arial" w:hAnsi="Arial"/>
          <w:sz w:val="22"/>
          <w:szCs w:val="22"/>
        </w:rPr>
        <w:t xml:space="preserve">Each document in the catalog receives a composite quality score (0–100):</w:t>
      </w:r>
    </w:p>
    <w:p>
      <w:pPr>
        <w:shd w:fill="ECEFF1" w:val="clear"/>
        <w:spacing w:after="60"/>
        <w:ind w:left="360"/>
      </w:pPr>
      <w:r>
        <w:rPr>
          <w:rFonts w:ascii="Courier New" w:cs="Courier New" w:eastAsia="Courier New" w:hAnsi="Courier New"/>
          <w:sz w:val="18"/>
          <w:szCs w:val="18"/>
        </w:rPr>
        <w:t xml:space="preserve">quality_score = (accuracy * 0.35) + (completeness * 0.20) + (timeliness * 0.20)</w:t>
      </w:r>
    </w:p>
    <w:p>
      <w:pPr>
        <w:shd w:fill="ECEFF1" w:val="clear"/>
        <w:spacing w:after="60"/>
        <w:ind w:left="360"/>
      </w:pPr>
      <w:r>
        <w:rPr>
          <w:rFonts w:ascii="Courier New" w:cs="Courier New" w:eastAsia="Courier New" w:hAnsi="Courier New"/>
          <w:sz w:val="18"/>
          <w:szCs w:val="18"/>
        </w:rPr>
        <w:t xml:space="preserve">              + (consistency * 0.15) + (validity * 0.10)</w:t>
      </w:r>
    </w:p>
    <w:p>
      <w:pPr>
        <w:spacing w:after="80"/>
      </w:pPr>
    </w:p>
    <w:p>
      <w:pPr>
        <w:spacing w:after="120"/>
      </w:pPr>
      <w:r>
        <w:rPr>
          <w:rFonts w:ascii="Arial" w:cs="Arial" w:eastAsia="Arial" w:hAnsi="Arial"/>
          <w:sz w:val="22"/>
          <w:szCs w:val="22"/>
        </w:rPr>
        <w:t xml:space="preserve">Documents with quality score &lt; 70 are flagged for steward review. Documents with quality score &lt; 50 are excluded from retrieval until remediated. Quality scores are recalculated on a configurable schedule (default: weekly for active documents, monthly for archived).</w:t>
      </w:r>
    </w:p>
    <w:p>
      <w:pPr>
        <w:spacing w:after="80"/>
      </w:pPr>
    </w:p>
    <w:p>
      <w:pPr>
        <w:pStyle w:val="Heading2"/>
        <w:spacing w:before="280" w:after="160"/>
      </w:pPr>
      <w:r>
        <w:rPr>
          <w:rFonts w:ascii="Arial" w:cs="Arial" w:eastAsia="Arial" w:hAnsi="Arial"/>
          <w:b/>
          <w:bCs/>
          <w:color w:val="00695C"/>
          <w:sz w:val="28"/>
          <w:szCs w:val="28"/>
        </w:rPr>
        <w:t xml:space="preserve">4.3 Retrieval Quality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2340"/>
        <w:gridCol w:w="851"/>
        <w:gridCol w:w="2340"/>
        <w:gridCol w:w="2340"/>
      </w:tblGrid>
      <w:tr>
        <w:trPr>
          <w:tblHeader/>
        </w:trPr>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85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Retrieval Precision</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of retrieved docs that are relevant to query</w:t>
            </w:r>
          </w:p>
        </w:tc>
        <w:tc>
          <w:tcPr>
            <w:tcW w:type="dxa" w:w="85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&gt; 80%</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Human evaluation on sample + LLM-as-judge</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Reindex, tune chunk strategy, update embeddings</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Retrieval Recall</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 of relevant docs that are retrieved</w:t>
            </w:r>
          </w:p>
        </w:tc>
        <w:tc>
          <w:tcPr>
            <w:tcW w:type="dxa" w:w="85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&gt; 70%</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Known-answer test suite with expected doc IDs</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Increase top_k, improve embedding model, metadata filtering</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Context Relevance</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of assembled context tokens that contribute to answer</w:t>
            </w:r>
          </w:p>
        </w:tc>
        <w:tc>
          <w:tcPr>
            <w:tcW w:type="dxa" w:w="85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&gt; 60%</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LLM-as-judge on context vs. response alignment</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Improve chunk strategy, add reranking step</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Retrieval Latency p99</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99th percentile vector search time</w:t>
            </w:r>
          </w:p>
        </w:tc>
        <w:tc>
          <w:tcPr>
            <w:tcW w:type="dxa" w:w="85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OTel trace measurement</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Scale Qdrant, optimize index, reduce collection size</w:t>
            </w:r>
          </w:p>
        </w:tc>
      </w:tr>
    </w:tbl>
    <w:p>
      <w:r>
        <w:br w:type="page"/>
      </w:r>
    </w:p>
    <w:p>
      <w:pPr>
        <w:pStyle w:val="Heading1"/>
        <w:spacing w:before="360" w:after="200"/>
      </w:pPr>
      <w:r>
        <w:rPr>
          <w:rFonts w:ascii="Arial" w:cs="Arial" w:eastAsia="Arial" w:hAnsi="Arial"/>
          <w:b/>
          <w:bCs/>
          <w:color w:val="004D40"/>
          <w:sz w:val="36"/>
          <w:szCs w:val="36"/>
        </w:rPr>
        <w:t xml:space="preserve">5. Model Lifecycle Management</w:t>
      </w:r>
    </w:p>
    <w:p>
      <w:pPr>
        <w:spacing w:after="120"/>
      </w:pPr>
      <w:r>
        <w:rPr>
          <w:rFonts w:ascii="Arial" w:cs="Arial" w:eastAsia="Arial" w:hAnsi="Arial"/>
          <w:sz w:val="22"/>
          <w:szCs w:val="22"/>
        </w:rPr>
        <w:t xml:space="preserve">Comprehensive MLOps framework for all models in the STC pipeline: LLMs, embedding models, classification models (PromptGuard), and any future fine-tuned models. Aligned with OCC SR 11-7 and the AI Model Risk Management Policy (Section 2.3 of the Audit Readiness Package).</w:t>
      </w:r>
    </w:p>
    <w:p>
      <w:pPr>
        <w:spacing w:after="80"/>
      </w:pPr>
    </w:p>
    <w:p>
      <w:pPr>
        <w:pStyle w:val="Heading2"/>
        <w:spacing w:before="280" w:after="160"/>
      </w:pPr>
      <w:r>
        <w:rPr>
          <w:rFonts w:ascii="Arial" w:cs="Arial" w:eastAsia="Arial" w:hAnsi="Arial"/>
          <w:b/>
          <w:bCs/>
          <w:color w:val="00695C"/>
          <w:sz w:val="28"/>
          <w:szCs w:val="28"/>
        </w:rPr>
        <w:t xml:space="preserve">5.1 Model Registry</w:t>
      </w:r>
    </w:p>
    <w:p>
      <w:pPr>
        <w:spacing w:after="120"/>
      </w:pPr>
      <w:r>
        <w:rPr>
          <w:rFonts w:ascii="Arial" w:cs="Arial" w:eastAsia="Arial" w:hAnsi="Arial"/>
          <w:sz w:val="22"/>
          <w:szCs w:val="22"/>
        </w:rPr>
        <w:t xml:space="preserve">The model registry is the authoritative catalog of all models approved for use in the STC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3404"/>
        <w:gridCol w:w="4254"/>
      </w:tblGrid>
      <w:tr>
        <w:trPr>
          <w:tblHeader/>
        </w:trPr>
        <w:tc>
          <w:tcPr>
            <w:tcW w:type="dxa" w:w="170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5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model_id</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Unique identifier (org/name format)</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anthropic/claude-sonnet-4</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model_type</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LLM | embedding | classifier | reranker</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LLM</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provider</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Where the model is served from</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anthropic (API), local (Ollama), bedrock (AWS)</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Specific version string</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claude-sonnet-4-20250514</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status</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evaluation | approved | deployed | deprecated | retired</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deployed</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provenance</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Trust level from provenance verification</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verified</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data_tiers_approved</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Which data classification tiers this model may process</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[public, internal]</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eval_scores</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Performance on STC evaluation suite</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{accuracy: 0.95, hallucination: 0.01, latency_p99: 4.2}</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safety_eval</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Safety evaluation results</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{injection_resistance: 0.97, scope_compliance: 1.0}</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Cost per 1K input/output tokens</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{input: $0.003, output: $0.015}</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approved_by</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Who approved deployment</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AI Governance Committee, ref AIGC-2026-005</w:t>
            </w:r>
          </w:p>
        </w:tc>
      </w:tr>
      <w:tr>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deployed_at</w:t>
            </w:r>
          </w:p>
        </w:tc>
        <w:tc>
          <w:tcPr>
            <w:tcW w:type="dxa" w:w="34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When deployed to production</w:t>
            </w:r>
          </w:p>
        </w:tc>
        <w:tc>
          <w:tcPr>
            <w:tcW w:type="dxa" w:w="425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2026-02-15T14:00:00Z</w:t>
            </w:r>
          </w:p>
        </w:tc>
      </w:tr>
      <w:tr>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next_review</w:t>
            </w:r>
          </w:p>
        </w:tc>
        <w:tc>
          <w:tcPr>
            <w:tcW w:type="dxa" w:w="34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Scheduled review date</w:t>
            </w:r>
          </w:p>
        </w:tc>
        <w:tc>
          <w:tcPr>
            <w:tcW w:type="dxa" w:w="425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2026-05-15</w:t>
            </w:r>
          </w:p>
        </w:tc>
      </w:tr>
    </w:tbl>
    <w:p>
      <w:pPr>
        <w:spacing w:after="80"/>
      </w:pPr>
    </w:p>
    <w:p>
      <w:pPr>
        <w:pStyle w:val="Heading2"/>
        <w:spacing w:before="280" w:after="160"/>
      </w:pPr>
      <w:r>
        <w:rPr>
          <w:rFonts w:ascii="Arial" w:cs="Arial" w:eastAsia="Arial" w:hAnsi="Arial"/>
          <w:b/>
          <w:bCs/>
          <w:color w:val="00695C"/>
          <w:sz w:val="28"/>
          <w:szCs w:val="28"/>
        </w:rPr>
        <w:t xml:space="preserve">5.2 Model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702"/>
        <w:gridCol w:w="2553"/>
        <w:gridCol w:w="2340"/>
        <w:gridCol w:w="1276"/>
      </w:tblGrid>
      <w:tr>
        <w:trPr>
          <w:tblHeader/>
        </w:trPr>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Evaluation Type</w:t>
            </w:r>
          </w:p>
        </w:tc>
        <w:tc>
          <w:tcPr>
            <w:tcW w:type="dxa" w:w="170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553"/>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Metrics</w:t>
            </w:r>
          </w:p>
        </w:tc>
        <w:tc>
          <w:tcPr>
            <w:tcW w:type="dxa" w:w="23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27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Performed By</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Accuracy Evaluation</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Before deployment + monthly</w:t>
            </w:r>
          </w:p>
        </w:tc>
        <w:tc>
          <w:tcPr>
            <w:tcW w:type="dxa" w:w="2553"/>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Factual accuracy, numerical precision, citation quality on eval suite</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Accuracy ≥ 90%, numerical precision ≥ 95%</w:t>
            </w:r>
          </w:p>
        </w:tc>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ML Engineering</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Safety Evaluation</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Before deployment + quarterly</w:t>
            </w:r>
          </w:p>
        </w:tc>
        <w:tc>
          <w:tcPr>
            <w:tcW w:type="dxa" w:w="2553"/>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Injection resistance, scope compliance, hallucination rate, bias check</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Injection resistance ≥ 95%, zero scope violations</w:t>
            </w:r>
          </w:p>
        </w:tc>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Security + Compliance</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Performance Evaluation</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Before deployment + monthly</w:t>
            </w:r>
          </w:p>
        </w:tc>
        <w:tc>
          <w:tcPr>
            <w:tcW w:type="dxa" w:w="2553"/>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Latency p50/p95/p99, throughput, token efficiency</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p99 ≤ 10s at load, throughput ≥ target</w:t>
            </w:r>
          </w:p>
        </w:tc>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SRE</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Cost Evaluation</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Before deployment + monthly</w:t>
            </w:r>
          </w:p>
        </w:tc>
        <w:tc>
          <w:tcPr>
            <w:tcW w:type="dxa" w:w="2553"/>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Cost per query, cost per 1K tokens, daily budget impact</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Within budget allocation per persona</w:t>
            </w:r>
          </w:p>
        </w:tc>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Finance + Engineering</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Comparative Evaluation</w:t>
            </w:r>
          </w:p>
        </w:tc>
        <w:tc>
          <w:tcPr>
            <w:tcW w:type="dxa" w:w="170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Before model change</w:t>
            </w:r>
          </w:p>
        </w:tc>
        <w:tc>
          <w:tcPr>
            <w:tcW w:type="dxa" w:w="2553"/>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Side-by-side on eval suite: new vs. current</w:t>
            </w:r>
          </w:p>
        </w:tc>
        <w:tc>
          <w:tcPr>
            <w:tcW w:type="dxa" w:w="23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New model must meet or exceed current on all safety metrics</w:t>
            </w:r>
          </w:p>
        </w:tc>
        <w:tc>
          <w:tcPr>
            <w:tcW w:type="dxa" w:w="127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ML Engineering + AI Governance</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Drift Detection</w:t>
            </w:r>
          </w:p>
        </w:tc>
        <w:tc>
          <w:tcPr>
            <w:tcW w:type="dxa" w:w="170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553"/>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Accuracy trend, hallucination trend, distribution shift on eval suite</w:t>
            </w:r>
          </w:p>
        </w:tc>
        <w:tc>
          <w:tcPr>
            <w:tcW w:type="dxa" w:w="23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No statistically significant degradation (p &lt; 0.05)</w:t>
            </w:r>
          </w:p>
        </w:tc>
        <w:tc>
          <w:tcPr>
            <w:tcW w:type="dxa" w:w="127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Automated + ML Engineering review</w:t>
            </w:r>
          </w:p>
        </w:tc>
      </w:tr>
    </w:tbl>
    <w:p>
      <w:pPr>
        <w:spacing w:after="80"/>
      </w:pPr>
    </w:p>
    <w:p>
      <w:pPr>
        <w:pStyle w:val="Heading2"/>
        <w:spacing w:before="280" w:after="160"/>
      </w:pPr>
      <w:r>
        <w:rPr>
          <w:rFonts w:ascii="Arial" w:cs="Arial" w:eastAsia="Arial" w:hAnsi="Arial"/>
          <w:b/>
          <w:bCs/>
          <w:color w:val="00695C"/>
          <w:sz w:val="28"/>
          <w:szCs w:val="28"/>
        </w:rPr>
        <w:t xml:space="preserve">5.3 Embedding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3191"/>
        <w:gridCol w:w="1489"/>
        <w:gridCol w:w="2765"/>
      </w:tblGrid>
      <w:tr>
        <w:trPr>
          <w:tblHeader/>
        </w:trPr>
        <w:tc>
          <w:tcPr>
            <w:tcW w:type="dxa" w:w="191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9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76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New embedding model approved</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Recompute all embeddings, reindex vector store, validate retrieval quality</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ML Engineering</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Full reindexing (may take hours for large collections)</w:t>
            </w:r>
          </w:p>
        </w:tc>
      </w:tr>
      <w:tr>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Embedding model version update</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Evaluate compatibility; if dimensions changed, full reindex required</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ML Engineering</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Potential retrieval quality change</w:t>
            </w:r>
          </w:p>
        </w:tc>
      </w:tr>
      <w:tr>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Document ingested</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Compute embedding with current model, store with model version metadata</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Ingestion Pipeline</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Incremental</w:t>
            </w:r>
          </w:p>
        </w:tc>
      </w:tr>
      <w:tr>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Document updated</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Recompute embedding, replace in vector store, update catalog</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Ingestion Pipeline</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Incremental</w:t>
            </w:r>
          </w:p>
        </w:tc>
      </w:tr>
      <w:tr>
        <w:tc>
          <w:tcPr>
            <w:tcW w:type="dxa" w:w="191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Document archived</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Remove from active collection, retain in archive collection (optional)</w:t>
            </w:r>
          </w:p>
        </w:tc>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Retention Manager</w:t>
            </w:r>
          </w:p>
        </w:tc>
        <w:tc>
          <w:tcPr>
            <w:tcW w:type="dxa" w:w="27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Reduces active index size</w:t>
            </w:r>
          </w:p>
        </w:tc>
      </w:tr>
      <w:tr>
        <w:tc>
          <w:tcPr>
            <w:tcW w:type="dxa" w:w="191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Embedding drift detected</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Evaluate retrieval quality; schedule reindexing if degraded</w:t>
            </w:r>
          </w:p>
        </w:tc>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ML Engineering</w:t>
            </w:r>
          </w:p>
        </w:tc>
        <w:tc>
          <w:tcPr>
            <w:tcW w:type="dxa" w:w="27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May require full reindex</w:t>
            </w:r>
          </w:p>
        </w:tc>
      </w:tr>
    </w:tbl>
    <w:p>
      <w:r>
        <w:br w:type="page"/>
      </w:r>
    </w:p>
    <w:p>
      <w:pPr>
        <w:pStyle w:val="Heading1"/>
        <w:spacing w:before="360" w:after="200"/>
      </w:pPr>
      <w:r>
        <w:rPr>
          <w:rFonts w:ascii="Arial" w:cs="Arial" w:eastAsia="Arial" w:hAnsi="Arial"/>
          <w:b/>
          <w:bCs/>
          <w:color w:val="004D40"/>
          <w:sz w:val="36"/>
          <w:szCs w:val="36"/>
        </w:rPr>
        <w:t xml:space="preserve">6. Data Contracts</w:t>
      </w:r>
    </w:p>
    <w:p>
      <w:pPr>
        <w:spacing w:after="120"/>
      </w:pPr>
      <w:r>
        <w:rPr>
          <w:rFonts w:ascii="Arial" w:cs="Arial" w:eastAsia="Arial" w:hAnsi="Arial"/>
          <w:sz w:val="22"/>
          <w:szCs w:val="22"/>
        </w:rPr>
        <w:t xml:space="preserve">Data contracts formalize expectations between data producers (upstream systems) and the STC data consumer. They define schema, quality, delivery SLA, and governance requirements. When a contract is violated, the ingestion pipeline rejects or quarantines the data and notifies the data steward.</w:t>
      </w:r>
    </w:p>
    <w:p>
      <w:pPr>
        <w:spacing w:after="80"/>
      </w:pPr>
    </w:p>
    <w:p>
      <w:pPr>
        <w:pStyle w:val="Heading2"/>
        <w:spacing w:before="280" w:after="160"/>
      </w:pPr>
      <w:r>
        <w:rPr>
          <w:rFonts w:ascii="Arial" w:cs="Arial" w:eastAsia="Arial" w:hAnsi="Arial"/>
          <w:b/>
          <w:bCs/>
          <w:color w:val="00695C"/>
          <w:sz w:val="28"/>
          <w:szCs w:val="28"/>
        </w:rPr>
        <w:t xml:space="preserve">6.1 Contract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7"/>
        <w:gridCol w:w="4129"/>
        <w:gridCol w:w="3304"/>
      </w:tblGrid>
      <w:tr>
        <w:trPr>
          <w:tblHeader/>
        </w:trPr>
        <w:tc>
          <w:tcPr>
            <w:tcW w:type="dxa" w:w="1927"/>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Contract Element</w:t>
            </w:r>
          </w:p>
        </w:tc>
        <w:tc>
          <w:tcPr>
            <w:tcW w:type="dxa" w:w="412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0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Schema</w:t>
            </w:r>
          </w:p>
        </w:tc>
        <w:tc>
          <w:tcPr>
            <w:tcW w:type="dxa" w:w="412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Required fields, data types, allowed values</w:t>
            </w:r>
          </w:p>
        </w:tc>
        <w:tc>
          <w:tcPr>
            <w:tcW w:type="dxa" w:w="33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JSON Schema validation at ingestion</w:t>
            </w:r>
          </w:p>
        </w:tc>
      </w:tr>
      <w:tr>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412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Minimum completeness, accuracy expectations</w:t>
            </w:r>
          </w:p>
        </w:tc>
        <w:tc>
          <w:tcPr>
            <w:tcW w:type="dxa" w:w="33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Quality scoring engine</w:t>
            </w:r>
          </w:p>
        </w:tc>
      </w:tr>
      <w:tr>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Freshness SLA</w:t>
            </w:r>
          </w:p>
        </w:tc>
        <w:tc>
          <w:tcPr>
            <w:tcW w:type="dxa" w:w="412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Maximum age of data at delivery</w:t>
            </w:r>
          </w:p>
        </w:tc>
        <w:tc>
          <w:tcPr>
            <w:tcW w:type="dxa" w:w="33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Timestamp validation</w:t>
            </w:r>
          </w:p>
        </w:tc>
      </w:tr>
      <w:tr>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412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Expected document count per delivery</w:t>
            </w:r>
          </w:p>
        </w:tc>
        <w:tc>
          <w:tcPr>
            <w:tcW w:type="dxa" w:w="33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Anomaly detection (too few / too many)</w:t>
            </w:r>
          </w:p>
        </w:tc>
      </w:tr>
      <w:tr>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412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tier (public/internal/restricted)</w:t>
            </w:r>
          </w:p>
        </w:tc>
        <w:tc>
          <w:tcPr>
            <w:tcW w:type="dxa" w:w="33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Auto-classification + steward validation</w:t>
            </w:r>
          </w:p>
        </w:tc>
      </w:tr>
      <w:tr>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412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File format, encoding, structure</w:t>
            </w:r>
          </w:p>
        </w:tc>
        <w:tc>
          <w:tcPr>
            <w:tcW w:type="dxa" w:w="33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Format validation at ingestion</w:t>
            </w:r>
          </w:p>
        </w:tc>
      </w:tr>
      <w:tr>
        <w:tc>
          <w:tcPr>
            <w:tcW w:type="dxa" w:w="19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Ownership</w:t>
            </w:r>
          </w:p>
        </w:tc>
        <w:tc>
          <w:tcPr>
            <w:tcW w:type="dxa" w:w="412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Producer system, contact, steward</w:t>
            </w:r>
          </w:p>
        </w:tc>
        <w:tc>
          <w:tcPr>
            <w:tcW w:type="dxa" w:w="330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Catalog metadata</w:t>
            </w:r>
          </w:p>
        </w:tc>
      </w:tr>
      <w:tr>
        <w:tc>
          <w:tcPr>
            <w:tcW w:type="dxa" w:w="19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Change Notification</w:t>
            </w:r>
          </w:p>
        </w:tc>
        <w:tc>
          <w:tcPr>
            <w:tcW w:type="dxa" w:w="412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How and when schema changes are communicated</w:t>
            </w:r>
          </w:p>
        </w:tc>
        <w:tc>
          <w:tcPr>
            <w:tcW w:type="dxa" w:w="330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Contract version + changelog</w:t>
            </w:r>
          </w:p>
        </w:tc>
      </w:tr>
    </w:tbl>
    <w:p>
      <w:pPr>
        <w:spacing w:after="80"/>
      </w:pPr>
    </w:p>
    <w:p>
      <w:pPr>
        <w:pStyle w:val="Heading2"/>
        <w:spacing w:before="280" w:after="160"/>
      </w:pPr>
      <w:r>
        <w:rPr>
          <w:rFonts w:ascii="Arial" w:cs="Arial" w:eastAsia="Arial" w:hAnsi="Arial"/>
          <w:b/>
          <w:bCs/>
          <w:color w:val="00695C"/>
          <w:sz w:val="28"/>
          <w:szCs w:val="28"/>
        </w:rPr>
        <w:t xml:space="preserve">6.2 Active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4"/>
        <w:gridCol w:w="2024"/>
        <w:gridCol w:w="1771"/>
        <w:gridCol w:w="1265"/>
        <w:gridCol w:w="1265"/>
        <w:gridCol w:w="1011"/>
      </w:tblGrid>
      <w:tr>
        <w:trPr>
          <w:tblHeader/>
        </w:trPr>
        <w:tc>
          <w:tcPr>
            <w:tcW w:type="dxa" w:w="202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202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177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126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Schema Version</w:t>
            </w:r>
          </w:p>
        </w:tc>
        <w:tc>
          <w:tcPr>
            <w:tcW w:type="dxa" w:w="126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101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SEC Filing Ingestion</w:t>
            </w:r>
          </w:p>
        </w:tc>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EDGAR Pipeline</w:t>
            </w:r>
          </w:p>
        </w:tc>
        <w:tc>
          <w:tcPr>
            <w:tcW w:type="dxa" w:w="17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STC Vector Store</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v2.1</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Within 24h of filing</w:t>
            </w:r>
          </w:p>
        </w:tc>
        <w:tc>
          <w:tcPr>
            <w:tcW w:type="dxa" w:w="101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Market Data Feed</w:t>
            </w:r>
          </w:p>
        </w:tc>
        <w:tc>
          <w:tcPr>
            <w:tcW w:type="dxa" w:w="20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Market Data Platform</w:t>
            </w:r>
          </w:p>
        </w:tc>
        <w:tc>
          <w:tcPr>
            <w:tcW w:type="dxa" w:w="177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STC Vector Store</w:t>
            </w:r>
          </w:p>
        </w:tc>
        <w:tc>
          <w:tcPr>
            <w:tcW w:type="dxa" w:w="12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v1.3</w:t>
            </w:r>
          </w:p>
        </w:tc>
        <w:tc>
          <w:tcPr>
            <w:tcW w:type="dxa" w:w="12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101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Internal Document Sync</w:t>
            </w:r>
          </w:p>
        </w:tc>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SharePoint / Confluence</w:t>
            </w:r>
          </w:p>
        </w:tc>
        <w:tc>
          <w:tcPr>
            <w:tcW w:type="dxa" w:w="17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STC Vector Store</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v1.0</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On publish</w:t>
            </w:r>
          </w:p>
        </w:tc>
        <w:tc>
          <w:tcPr>
            <w:tcW w:type="dxa" w:w="101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Client Data (Masked)</w:t>
            </w:r>
          </w:p>
        </w:tc>
        <w:tc>
          <w:tcPr>
            <w:tcW w:type="dxa" w:w="20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Client Master (BetaNXT)</w:t>
            </w:r>
          </w:p>
        </w:tc>
        <w:tc>
          <w:tcPr>
            <w:tcW w:type="dxa" w:w="177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STC Vector Store</w:t>
            </w:r>
          </w:p>
        </w:tc>
        <w:tc>
          <w:tcPr>
            <w:tcW w:type="dxa" w:w="12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v1.2</w:t>
            </w:r>
          </w:p>
        </w:tc>
        <w:tc>
          <w:tcPr>
            <w:tcW w:type="dxa" w:w="126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Daily batch</w:t>
            </w:r>
          </w:p>
        </w:tc>
        <w:tc>
          <w:tcPr>
            <w:tcW w:type="dxa" w:w="101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Evaluation Dataset</w:t>
            </w:r>
          </w:p>
        </w:tc>
        <w:tc>
          <w:tcPr>
            <w:tcW w:type="dxa" w:w="20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QA Team</w:t>
            </w:r>
          </w:p>
        </w:tc>
        <w:tc>
          <w:tcPr>
            <w:tcW w:type="dxa" w:w="17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STC Eval Pipeline</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v2.0</w:t>
            </w:r>
          </w:p>
        </w:tc>
        <w:tc>
          <w:tcPr>
            <w:tcW w:type="dxa" w:w="126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On update</w:t>
            </w:r>
          </w:p>
        </w:tc>
        <w:tc>
          <w:tcPr>
            <w:tcW w:type="dxa" w:w="101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Active</w:t>
            </w:r>
          </w:p>
        </w:tc>
      </w:tr>
    </w:tbl>
    <w:p>
      <w:r>
        <w:br w:type="page"/>
      </w:r>
    </w:p>
    <w:p>
      <w:pPr>
        <w:pStyle w:val="Heading1"/>
        <w:spacing w:before="360" w:after="200"/>
      </w:pPr>
      <w:r>
        <w:rPr>
          <w:rFonts w:ascii="Arial" w:cs="Arial" w:eastAsia="Arial" w:hAnsi="Arial"/>
          <w:b/>
          <w:bCs/>
          <w:color w:val="004D40"/>
          <w:sz w:val="36"/>
          <w:szCs w:val="36"/>
        </w:rPr>
        <w:t xml:space="preserve">7. Data Subject Rights Management</w:t>
      </w:r>
    </w:p>
    <w:p>
      <w:pPr>
        <w:spacing w:after="120"/>
      </w:pPr>
      <w:r>
        <w:rPr>
          <w:rFonts w:ascii="Arial" w:cs="Arial" w:eastAsia="Arial" w:hAnsi="Arial"/>
          <w:sz w:val="22"/>
          <w:szCs w:val="22"/>
        </w:rPr>
        <w:t xml:space="preserve">Under GDPR, CCPA, and other privacy regulations, data subjects have rights over their personal data. This section defines how the STC system fulfills those rights. Aligned with GDPR Articles 15–22.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2"/>
        <w:gridCol w:w="985"/>
        <w:gridCol w:w="2709"/>
        <w:gridCol w:w="3448"/>
        <w:gridCol w:w="986"/>
      </w:tblGrid>
      <w:tr>
        <w:trPr>
          <w:tblHeader/>
        </w:trPr>
        <w:tc>
          <w:tcPr>
            <w:tcW w:type="dxa" w:w="1232"/>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985"/>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70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STC Fulfillment</w:t>
            </w:r>
          </w:p>
        </w:tc>
        <w:tc>
          <w:tcPr>
            <w:tcW w:type="dxa" w:w="3448"/>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98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123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Access (Art. 15)</w:t>
            </w:r>
          </w:p>
        </w:tc>
        <w:tc>
          <w:tcPr>
            <w:tcW w:type="dxa" w:w="98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GDPR, CCPA</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Export all data associated with the data subject from vector store, audit trail, and any cached responses</w:t>
            </w:r>
          </w:p>
        </w:tc>
        <w:tc>
          <w:tcPr>
            <w:tcW w:type="dxa" w:w="344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Subject request → DPO → catalog query by PII identifiers → export package</w:t>
            </w:r>
          </w:p>
        </w:tc>
        <w:tc>
          <w:tcPr>
            <w:tcW w:type="dxa" w:w="98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3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Erasure (Art. 17)</w:t>
            </w:r>
          </w:p>
        </w:tc>
        <w:tc>
          <w:tcPr>
            <w:tcW w:type="dxa" w:w="98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GDPR</w:t>
            </w:r>
          </w:p>
        </w:tc>
        <w:tc>
          <w:tcPr>
            <w:tcW w:type="dxa" w:w="270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Delete all data subject’s data from vector store (embeddings + source), audit trail (redact PII, retain structure), surrogate maps (session-scoped, auto-destroyed)</w:t>
            </w:r>
          </w:p>
        </w:tc>
        <w:tc>
          <w:tcPr>
            <w:tcW w:type="dxa" w:w="344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Subject request → DPO → catalog identify all assets → vector store deletion → audit trail PII redaction → verification</w:t>
            </w:r>
          </w:p>
        </w:tc>
        <w:tc>
          <w:tcPr>
            <w:tcW w:type="dxa" w:w="98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30 days</w:t>
            </w:r>
          </w:p>
        </w:tc>
      </w:tr>
      <w:tr>
        <w:tc>
          <w:tcPr>
            <w:tcW w:type="dxa" w:w="123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Rectification (Art. 16)</w:t>
            </w:r>
          </w:p>
        </w:tc>
        <w:tc>
          <w:tcPr>
            <w:tcW w:type="dxa" w:w="98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GDPR</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Update incorrect data in source documents, recompute embeddings, reindex</w:t>
            </w:r>
          </w:p>
        </w:tc>
        <w:tc>
          <w:tcPr>
            <w:tcW w:type="dxa" w:w="344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Subject request → steward → source correction → re-ingestion → reindex</w:t>
            </w:r>
          </w:p>
        </w:tc>
        <w:tc>
          <w:tcPr>
            <w:tcW w:type="dxa" w:w="98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123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Portability (Art. 20)</w:t>
            </w:r>
          </w:p>
        </w:tc>
        <w:tc>
          <w:tcPr>
            <w:tcW w:type="dxa" w:w="98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GDPR</w:t>
            </w:r>
          </w:p>
        </w:tc>
        <w:tc>
          <w:tcPr>
            <w:tcW w:type="dxa" w:w="270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Export data in machine-readable format (JSON)</w:t>
            </w:r>
          </w:p>
        </w:tc>
        <w:tc>
          <w:tcPr>
            <w:tcW w:type="dxa" w:w="344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Subject request → DPO → catalog query → JSON export</w:t>
            </w:r>
          </w:p>
        </w:tc>
        <w:tc>
          <w:tcPr>
            <w:tcW w:type="dxa" w:w="98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30 days</w:t>
            </w:r>
          </w:p>
        </w:tc>
      </w:tr>
      <w:tr>
        <w:tc>
          <w:tcPr>
            <w:tcW w:type="dxa" w:w="1232"/>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Restriction (Art. 18)</w:t>
            </w:r>
          </w:p>
        </w:tc>
        <w:tc>
          <w:tcPr>
            <w:tcW w:type="dxa" w:w="985"/>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GDPR</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Mark data subject’s documents as restricted (excluded from retrieval) without deletion</w:t>
            </w:r>
          </w:p>
        </w:tc>
        <w:tc>
          <w:tcPr>
            <w:tcW w:type="dxa" w:w="344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Subject request → DPO → catalog flag → retrieval filter update</w:t>
            </w:r>
          </w:p>
        </w:tc>
        <w:tc>
          <w:tcPr>
            <w:tcW w:type="dxa" w:w="98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72 hours</w:t>
            </w:r>
          </w:p>
        </w:tc>
      </w:tr>
      <w:tr>
        <w:tc>
          <w:tcPr>
            <w:tcW w:type="dxa" w:w="1232"/>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Objection (Art. 21)</w:t>
            </w:r>
          </w:p>
        </w:tc>
        <w:tc>
          <w:tcPr>
            <w:tcW w:type="dxa" w:w="985"/>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GDPR</w:t>
            </w:r>
          </w:p>
        </w:tc>
        <w:tc>
          <w:tcPr>
            <w:tcW w:type="dxa" w:w="270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Cease processing data subject’s data for AI purposes</w:t>
            </w:r>
          </w:p>
        </w:tc>
        <w:tc>
          <w:tcPr>
            <w:tcW w:type="dxa" w:w="344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Subject request → DPO → restriction + review of legitimate interest</w:t>
            </w:r>
          </w:p>
        </w:tc>
        <w:tc>
          <w:tcPr>
            <w:tcW w:type="dxa" w:w="98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30 days</w:t>
            </w:r>
          </w:p>
        </w:tc>
      </w:tr>
    </w:tbl>
    <w:p>
      <w:pPr>
        <w:spacing w:after="80"/>
      </w:pPr>
    </w:p>
    <w:p>
      <w:pPr>
        <w:spacing w:after="120"/>
      </w:pPr>
      <w:r>
        <w:rPr>
          <w:rFonts w:ascii="Arial" w:cs="Arial" w:eastAsia="Arial" w:hAnsi="Arial"/>
          <w:sz w:val="22"/>
          <w:szCs w:val="22"/>
        </w:rPr>
        <w:t xml:space="preserve">All rights requests are logged in the audit trail with: request date, data subject identifier (pseudonymized), right exercised, actions taken, completion date, and verification result. The DPO maintains a rights request register for regulatory reporting.</w:t>
      </w:r>
    </w:p>
    <w:p>
      <w:r>
        <w:br w:type="page"/>
      </w:r>
    </w:p>
    <w:p>
      <w:pPr>
        <w:pStyle w:val="Heading1"/>
        <w:spacing w:before="360" w:after="200"/>
      </w:pPr>
      <w:r>
        <w:rPr>
          <w:rFonts w:ascii="Arial" w:cs="Arial" w:eastAsia="Arial" w:hAnsi="Arial"/>
          <w:b/>
          <w:bCs/>
          <w:color w:val="004D40"/>
          <w:sz w:val="36"/>
          <w:szCs w:val="36"/>
        </w:rPr>
        <w:t xml:space="preserve">8. Cross-Source Reconciliation</w:t>
      </w:r>
    </w:p>
    <w:p>
      <w:pPr>
        <w:spacing w:after="120"/>
      </w:pPr>
      <w:r>
        <w:rPr>
          <w:rFonts w:ascii="Arial" w:cs="Arial" w:eastAsia="Arial" w:hAnsi="Arial"/>
          <w:sz w:val="22"/>
          <w:szCs w:val="22"/>
        </w:rPr>
        <w:t xml:space="preserve">When the same fact exists in multiple source documents (e.g., ACME revenue in both a 10-K filing and a market data feed), the system must detect and resolve conflicts. Unresolved conflicts in financial data are a regulatory risk (FINRA 4512, BCBS 239).</w:t>
      </w:r>
    </w:p>
    <w:p>
      <w:pPr>
        <w:spacing w:after="80"/>
      </w:pPr>
    </w:p>
    <w:p>
      <w:pPr>
        <w:pStyle w:val="Heading2"/>
        <w:spacing w:before="280" w:after="160"/>
      </w:pPr>
      <w:r>
        <w:rPr>
          <w:rFonts w:ascii="Arial" w:cs="Arial" w:eastAsia="Arial" w:hAnsi="Arial"/>
          <w:b/>
          <w:bCs/>
          <w:color w:val="00695C"/>
          <w:sz w:val="28"/>
          <w:szCs w:val="28"/>
        </w:rPr>
        <w:t xml:space="preserve">8.1 Reconciliation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2127"/>
        <w:gridCol w:w="2978"/>
        <w:gridCol w:w="2766"/>
      </w:tblGrid>
      <w:tr>
        <w:trPr>
          <w:tblHeader/>
        </w:trPr>
        <w:tc>
          <w:tcPr>
            <w:tcW w:type="dxa" w:w="148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127"/>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978"/>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Resolution Rule</w:t>
            </w:r>
          </w:p>
        </w:tc>
        <w:tc>
          <w:tcPr>
            <w:tcW w:type="dxa" w:w="276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Numerical discrepancy</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Entity extraction + cross-doc comparison</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SEC filing &gt; market data &gt; internal estimate (source authority hierarchy)</w:t>
            </w:r>
          </w:p>
        </w:tc>
        <w:tc>
          <w:tcPr>
            <w:tcW w:type="dxa" w:w="276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Steward review if discrepancy &gt; 5%</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Date discrepancy</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Date extraction + cross-doc comparison</w:t>
            </w:r>
          </w:p>
        </w:tc>
        <w:tc>
          <w:tcPr>
            <w:tcW w:type="dxa" w:w="297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Most recently published source wins</w:t>
            </w:r>
          </w:p>
        </w:tc>
        <w:tc>
          <w:tcPr>
            <w:tcW w:type="dxa" w:w="276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Steward review if &gt; 30 days difference</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Entity name mismatch</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NER + fuzzy matching</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Canonical name from Client Master</w:t>
            </w:r>
          </w:p>
        </w:tc>
        <w:tc>
          <w:tcPr>
            <w:tcW w:type="dxa" w:w="276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Auto-resolve if confidence &gt; 0.95</w:t>
            </w:r>
          </w:p>
        </w:tc>
      </w:tr>
      <w:tr>
        <w:tc>
          <w:tcPr>
            <w:tcW w:type="dxa" w:w="148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Contradictory statements</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Semantic similarity + contradiction detection</w:t>
            </w:r>
          </w:p>
        </w:tc>
        <w:tc>
          <w:tcPr>
            <w:tcW w:type="dxa" w:w="297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Flag both; do not resolve automatically</w:t>
            </w:r>
          </w:p>
        </w:tc>
        <w:tc>
          <w:tcPr>
            <w:tcW w:type="dxa" w:w="276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Always escalate to steward</w:t>
            </w:r>
          </w:p>
        </w:tc>
      </w:tr>
      <w:tr>
        <w:tc>
          <w:tcPr>
            <w:tcW w:type="dxa" w:w="148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Missing data in one source</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Schema completeness check</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Supplement from secondary source if above quality threshold</w:t>
            </w:r>
          </w:p>
        </w:tc>
        <w:tc>
          <w:tcPr>
            <w:tcW w:type="dxa" w:w="276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Steward review if critical field</w:t>
            </w:r>
          </w:p>
        </w:tc>
      </w:tr>
    </w:tbl>
    <w:p>
      <w:pPr>
        <w:spacing w:after="80"/>
      </w:pPr>
    </w:p>
    <w:p>
      <w:pPr>
        <w:spacing w:after="120"/>
      </w:pPr>
      <w:r>
        <w:rPr>
          <w:rFonts w:ascii="Arial" w:cs="Arial" w:eastAsia="Arial" w:hAnsi="Arial"/>
          <w:sz w:val="22"/>
          <w:szCs w:val="22"/>
        </w:rPr>
        <w:t xml:space="preserve">Reconciliation runs at ingestion time (when new documents are added) and on a weekly schedule for all active documents. Results are stored in the catalog as reconciliation records and are queryable for audit purposes.</w:t>
      </w:r>
    </w:p>
    <w:p>
      <w:r>
        <w:br w:type="page"/>
      </w:r>
    </w:p>
    <w:p>
      <w:pPr>
        <w:pStyle w:val="Heading1"/>
        <w:spacing w:before="360" w:after="200"/>
      </w:pPr>
      <w:r>
        <w:rPr>
          <w:rFonts w:ascii="Arial" w:cs="Arial" w:eastAsia="Arial" w:hAnsi="Arial"/>
          <w:b/>
          <w:bCs/>
          <w:color w:val="004D40"/>
          <w:sz w:val="36"/>
          <w:szCs w:val="36"/>
        </w:rPr>
        <w:t xml:space="preserve">9. Prompt Governance</w:t>
      </w:r>
    </w:p>
    <w:p>
      <w:pPr>
        <w:spacing w:after="120"/>
      </w:pPr>
      <w:r>
        <w:rPr>
          <w:rFonts w:ascii="Arial" w:cs="Arial" w:eastAsia="Arial" w:hAnsi="Arial"/>
          <w:sz w:val="22"/>
          <w:szCs w:val="22"/>
        </w:rPr>
        <w:t xml:space="preserve">Prompts are data assets that directly influence AI behavior. They require the same governance rigor as model parameters: versioning, review, approval, and monitoring.</w:t>
      </w:r>
    </w:p>
    <w:p>
      <w:pPr>
        <w:spacing w:after="80"/>
      </w:pPr>
    </w:p>
    <w:p>
      <w:pPr>
        <w:pStyle w:val="Heading2"/>
        <w:spacing w:before="280" w:after="160"/>
      </w:pPr>
      <w:r>
        <w:rPr>
          <w:rFonts w:ascii="Arial" w:cs="Arial" w:eastAsia="Arial" w:hAnsi="Arial"/>
          <w:b/>
          <w:bCs/>
          <w:color w:val="00695C"/>
          <w:sz w:val="28"/>
          <w:szCs w:val="28"/>
        </w:rPr>
        <w:t xml:space="preserve">9.1 Prompt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2978"/>
        <w:gridCol w:w="2127"/>
        <w:gridCol w:w="3191"/>
      </w:tblGrid>
      <w:tr>
        <w:trPr>
          <w:tblHeader/>
        </w:trPr>
        <w:tc>
          <w:tcPr>
            <w:tcW w:type="dxa" w:w="106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978"/>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127"/>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319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Authoring</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Write prompt template; test against eval suite; document intent and expected behavior</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Author + peer review</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Prompt text, test results, intent documentation</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297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Security review (injection resistance), compliance review (scope, disclaimers), accuracy review</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Prompt Reviewer (designated role)</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Review checklist, sign-off</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Register in Langfuse with version tag; update spec to reference new version</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Change Advisory Board (Normal change)</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Langfuse version record, CAB approval</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97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Track prompt performance via Langfuse; compare accuracy/hallucination metrics vs. previous version</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Automated + monthly ML Engineering review</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Langfuse dashboards, comparison report</w:t>
            </w:r>
          </w:p>
        </w:tc>
      </w:tr>
      <w:tr>
        <w:tc>
          <w:tcPr>
            <w:tcW w:type="dxa" w:w="106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Versioning</w:t>
            </w:r>
          </w:p>
        </w:tc>
        <w:tc>
          <w:tcPr>
            <w:tcW w:type="dxa" w:w="2978"/>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Every change creates a new version; old versions retained for rollback and audit</w:t>
            </w:r>
          </w:p>
        </w:tc>
        <w:tc>
          <w:tcPr>
            <w:tcW w:type="dxa" w:w="2127"/>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Automatic (Langfuse)</w:t>
            </w:r>
          </w:p>
        </w:tc>
        <w:tc>
          <w:tcPr>
            <w:tcW w:type="dxa" w:w="319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Version history with diffs</w:t>
            </w:r>
          </w:p>
        </w:tc>
      </w:tr>
      <w:tr>
        <w:tc>
          <w:tcPr>
            <w:tcW w:type="dxa" w:w="106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Retirement</w:t>
            </w:r>
          </w:p>
        </w:tc>
        <w:tc>
          <w:tcPr>
            <w:tcW w:type="dxa" w:w="2978"/>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Mark as deprecated; ensure no active references; retain for audit trail</w:t>
            </w:r>
          </w:p>
        </w:tc>
        <w:tc>
          <w:tcPr>
            <w:tcW w:type="dxa" w:w="2127"/>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Author + ML Engineering lead</w:t>
            </w:r>
          </w:p>
        </w:tc>
        <w:tc>
          <w:tcPr>
            <w:tcW w:type="dxa" w:w="319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Deprecation record</w:t>
            </w:r>
          </w:p>
        </w:tc>
      </w:tr>
    </w:tbl>
    <w:p>
      <w:pPr>
        <w:spacing w:after="80"/>
      </w:pPr>
    </w:p>
    <w:p>
      <w:pPr>
        <w:pStyle w:val="Heading2"/>
        <w:spacing w:before="280" w:after="160"/>
      </w:pPr>
      <w:r>
        <w:rPr>
          <w:rFonts w:ascii="Arial" w:cs="Arial" w:eastAsia="Arial" w:hAnsi="Arial"/>
          <w:b/>
          <w:bCs/>
          <w:color w:val="00695C"/>
          <w:sz w:val="28"/>
          <w:szCs w:val="28"/>
        </w:rPr>
        <w:t xml:space="preserve">9.2 Prompt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2956"/>
        <w:gridCol w:w="1971"/>
        <w:gridCol w:w="2709"/>
      </w:tblGrid>
      <w:tr>
        <w:trPr>
          <w:tblHeader/>
        </w:trPr>
        <w:tc>
          <w:tcPr>
            <w:tcW w:type="dxa" w:w="1724"/>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56"/>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71"/>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09"/>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17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Accuracy delta</w:t>
            </w:r>
          </w:p>
        </w:tc>
        <w:tc>
          <w:tcPr>
            <w:tcW w:type="dxa" w:w="295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Change in accuracy vs. previous prompt version</w:t>
            </w:r>
          </w:p>
        </w:tc>
        <w:tc>
          <w:tcPr>
            <w:tcW w:type="dxa" w:w="19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0% (no regression)</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Eval suite comparison</w:t>
            </w:r>
          </w:p>
        </w:tc>
      </w:tr>
      <w:tr>
        <w:tc>
          <w:tcPr>
            <w:tcW w:type="dxa" w:w="17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Hallucination delta</w:t>
            </w:r>
          </w:p>
        </w:tc>
        <w:tc>
          <w:tcPr>
            <w:tcW w:type="dxa" w:w="295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Change in hallucination rate vs. previous</w:t>
            </w:r>
          </w:p>
        </w:tc>
        <w:tc>
          <w:tcPr>
            <w:tcW w:type="dxa" w:w="197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 0% (no increase)</w:t>
            </w:r>
          </w:p>
        </w:tc>
        <w:tc>
          <w:tcPr>
            <w:tcW w:type="dxa" w:w="270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Critic verdict comparison</w:t>
            </w:r>
          </w:p>
        </w:tc>
      </w:tr>
      <w:tr>
        <w:tc>
          <w:tcPr>
            <w:tcW w:type="dxa" w:w="17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Injection resistance</w:t>
            </w:r>
          </w:p>
        </w:tc>
        <w:tc>
          <w:tcPr>
            <w:tcW w:type="dxa" w:w="295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of adversarial prompts correctly handled by this template</w:t>
            </w:r>
          </w:p>
        </w:tc>
        <w:tc>
          <w:tcPr>
            <w:tcW w:type="dxa" w:w="19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95%</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Adversarial test suite</w:t>
            </w:r>
          </w:p>
        </w:tc>
      </w:tr>
      <w:tr>
        <w:tc>
          <w:tcPr>
            <w:tcW w:type="dxa" w:w="1724"/>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Token efficiency</w:t>
            </w:r>
          </w:p>
        </w:tc>
        <w:tc>
          <w:tcPr>
            <w:tcW w:type="dxa" w:w="2956"/>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Average tokens used vs. previous version</w:t>
            </w:r>
          </w:p>
        </w:tc>
        <w:tc>
          <w:tcPr>
            <w:tcW w:type="dxa" w:w="1971"/>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 110% of previous</w:t>
            </w:r>
          </w:p>
        </w:tc>
        <w:tc>
          <w:tcPr>
            <w:tcW w:type="dxa" w:w="2709"/>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Langfuse token tracking</w:t>
            </w:r>
          </w:p>
        </w:tc>
      </w:tr>
      <w:tr>
        <w:tc>
          <w:tcPr>
            <w:tcW w:type="dxa" w:w="1724"/>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Scope compliance</w:t>
            </w:r>
          </w:p>
        </w:tc>
        <w:tc>
          <w:tcPr>
            <w:tcW w:type="dxa" w:w="2956"/>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of responses within approved scope</w:t>
            </w:r>
          </w:p>
        </w:tc>
        <w:tc>
          <w:tcPr>
            <w:tcW w:type="dxa" w:w="1971"/>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100%</w:t>
            </w:r>
          </w:p>
        </w:tc>
        <w:tc>
          <w:tcPr>
            <w:tcW w:type="dxa" w:w="2709"/>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Scope violation monitoring</w:t>
            </w:r>
          </w:p>
        </w:tc>
      </w:tr>
    </w:tbl>
    <w:p>
      <w:r>
        <w:br w:type="page"/>
      </w:r>
    </w:p>
    <w:p>
      <w:pPr>
        <w:pStyle w:val="Heading1"/>
        <w:spacing w:before="360" w:after="200"/>
      </w:pPr>
      <w:r>
        <w:rPr>
          <w:rFonts w:ascii="Arial" w:cs="Arial" w:eastAsia="Arial" w:hAnsi="Arial"/>
          <w:b/>
          <w:bCs/>
          <w:color w:val="004D40"/>
          <w:sz w:val="36"/>
          <w:szCs w:val="36"/>
        </w:rPr>
        <w:t xml:space="preserve">10. Data Governance Metrics &amp; Reporting</w:t>
      </w:r>
    </w:p>
    <w:p>
      <w:pPr>
        <w:spacing w:after="80"/>
      </w:pPr>
    </w:p>
    <w:p>
      <w:pPr>
        <w:pStyle w:val="Heading2"/>
        <w:spacing w:before="280" w:after="160"/>
      </w:pPr>
      <w:r>
        <w:rPr>
          <w:rFonts w:ascii="Arial" w:cs="Arial" w:eastAsia="Arial" w:hAnsi="Arial"/>
          <w:b/>
          <w:bCs/>
          <w:color w:val="00695C"/>
          <w:sz w:val="28"/>
          <w:szCs w:val="28"/>
        </w:rPr>
        <w:t xml:space="preserve">10.1 Governance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3600"/>
        <w:gridCol w:w="1440"/>
      </w:tblGrid>
      <w:tr>
        <w:trPr>
          <w:tblHeader/>
        </w:trPr>
        <w:tc>
          <w:tcPr>
            <w:tcW w:type="dxa" w:w="26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8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0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1440"/>
            <w:tcBorders>
              <w:top w:val="single" w:color="80CBC4" w:sz="1"/>
              <w:left w:val="single" w:color="80CBC4" w:sz="1"/>
              <w:bottom w:val="single" w:color="80CBC4" w:sz="1"/>
              <w:right w:val="single" w:color="80CBC4"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Reporting Frequency</w:t>
            </w:r>
          </w:p>
        </w:tc>
      </w:tr>
      <w:tr>
        <w:tc>
          <w:tcPr>
            <w:tcW w:type="dxa" w:w="26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Catalog completeness</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100% of data assets cataloged</w:t>
            </w:r>
          </w:p>
        </w:tc>
        <w:tc>
          <w:tcPr>
            <w:tcW w:type="dxa" w:w="36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 Assets in catalog / assets in system</w:t>
            </w:r>
          </w:p>
        </w:tc>
        <w:tc>
          <w:tcPr>
            <w:tcW w:type="dxa" w:w="14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6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Average document quality score</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36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Mean quality score across active documents</w:t>
            </w:r>
          </w:p>
        </w:tc>
        <w:tc>
          <w:tcPr>
            <w:tcW w:type="dxa" w:w="14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6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Stale document rate</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&lt; 5%</w:t>
            </w:r>
          </w:p>
        </w:tc>
        <w:tc>
          <w:tcPr>
            <w:tcW w:type="dxa" w:w="36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Stale docs / total active docs</w:t>
            </w:r>
          </w:p>
        </w:tc>
        <w:tc>
          <w:tcPr>
            <w:tcW w:type="dxa" w:w="14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6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Lineage coverage</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of responses have lineage</w:t>
            </w:r>
          </w:p>
        </w:tc>
        <w:tc>
          <w:tcPr>
            <w:tcW w:type="dxa" w:w="36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Responses with lineage / total responses</w:t>
            </w:r>
          </w:p>
        </w:tc>
        <w:tc>
          <w:tcPr>
            <w:tcW w:type="dxa" w:w="14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6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Data contract compliance</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100% of deliveries meet contract</w:t>
            </w:r>
          </w:p>
        </w:tc>
        <w:tc>
          <w:tcPr>
            <w:tcW w:type="dxa" w:w="36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Compliant deliveries / total deliveries</w:t>
            </w:r>
          </w:p>
        </w:tc>
        <w:tc>
          <w:tcPr>
            <w:tcW w:type="dxa" w:w="14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6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Rights request fulfillment</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within SLA</w:t>
            </w:r>
          </w:p>
        </w:tc>
        <w:tc>
          <w:tcPr>
            <w:tcW w:type="dxa" w:w="36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Fulfilled on time / total requests</w:t>
            </w:r>
          </w:p>
        </w:tc>
        <w:tc>
          <w:tcPr>
            <w:tcW w:type="dxa" w:w="14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6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Reconciliation conflict rate</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&lt; 1%</w:t>
            </w:r>
          </w:p>
        </w:tc>
        <w:tc>
          <w:tcPr>
            <w:tcW w:type="dxa" w:w="36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Unresolved conflicts / total reconciled facts</w:t>
            </w:r>
          </w:p>
        </w:tc>
        <w:tc>
          <w:tcPr>
            <w:tcW w:type="dxa" w:w="14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6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Model registry currency</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of deployed models in registry</w:t>
            </w:r>
          </w:p>
        </w:tc>
        <w:tc>
          <w:tcPr>
            <w:tcW w:type="dxa" w:w="36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Registered models / deployed models</w:t>
            </w:r>
          </w:p>
        </w:tc>
        <w:tc>
          <w:tcPr>
            <w:tcW w:type="dxa" w:w="14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6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Embedding version alignment</w:t>
            </w:r>
          </w:p>
        </w:tc>
        <w:tc>
          <w:tcPr>
            <w:tcW w:type="dxa" w:w="168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&gt; 99% documents on current embedding model</w:t>
            </w:r>
          </w:p>
        </w:tc>
        <w:tc>
          <w:tcPr>
            <w:tcW w:type="dxa" w:w="36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Current model docs / total docs</w:t>
            </w:r>
          </w:p>
        </w:tc>
        <w:tc>
          <w:tcPr>
            <w:tcW w:type="dxa" w:w="144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6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Prompt version currency</w:t>
            </w:r>
          </w:p>
        </w:tc>
        <w:tc>
          <w:tcPr>
            <w:tcW w:type="dxa" w:w="168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100% prompts on latest approved version</w:t>
            </w:r>
          </w:p>
        </w:tc>
        <w:tc>
          <w:tcPr>
            <w:tcW w:type="dxa" w:w="360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Current prompts / total prompts</w:t>
            </w:r>
          </w:p>
        </w:tc>
        <w:tc>
          <w:tcPr>
            <w:tcW w:type="dxa" w:w="1440"/>
            <w:tcBorders>
              <w:top w:val="single" w:color="80CBC4" w:sz="1"/>
              <w:left w:val="single" w:color="80CBC4" w:sz="1"/>
              <w:bottom w:val="single" w:color="80CBC4" w:sz="1"/>
              <w:right w:val="single" w:color="80CBC4" w:sz="1"/>
            </w:tcBorders>
            <w:tcMar>
              <w:top w:type="dxa" w:w="80"/>
              <w:left w:type="dxa" w:w="120"/>
              <w:bottom w:type="dxa" w:w="80"/>
              <w:right w:type="dxa" w:w="120"/>
            </w:tcMar>
          </w:tcPr>
          <w:p>
            <w:r>
              <w:rPr>
                <w:rFonts w:ascii="Arial" w:cs="Arial" w:eastAsia="Arial" w:hAnsi="Arial"/>
                <w:sz w:val="20"/>
                <w:szCs w:val="20"/>
              </w:rPr>
              <w:t xml:space="preserve">Weekly</w:t>
            </w:r>
          </w:p>
        </w:tc>
      </w:tr>
    </w:tbl>
    <w:p>
      <w:pPr>
        <w:spacing w:after="80"/>
      </w:pPr>
    </w:p>
    <w:p>
      <w:pPr>
        <w:spacing w:after="80"/>
      </w:pPr>
    </w:p>
    <w:p>
      <w:pPr>
        <w:spacing w:before="400"/>
        <w:jc w:val="center"/>
      </w:pPr>
      <w:r>
        <w:rPr>
          <w:rFonts w:ascii="Arial" w:cs="Arial" w:eastAsia="Arial" w:hAnsi="Arial"/>
          <w:i/>
          <w:iCs/>
          <w:color w:val="757575"/>
          <w:sz w:val="22"/>
          <w:szCs w:val="22"/>
        </w:rPr>
        <w:t xml:space="preserve">— END OF DATA GOVERNANCE FRAMEWORK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Data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4D4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6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2026-03-10T02:18:59.635Z</dcterms:created>
  <dcterms:modified xsi:type="dcterms:W3CDTF">2026-03-10T02:18:59.636Z</dcterms:modified>
</cp:coreProperties>
</file>

<file path=docProps/custom.xml><?xml version="1.0" encoding="utf-8"?>
<Properties xmlns="http://schemas.openxmlformats.org/officeDocument/2006/custom-properties" xmlns:vt="http://schemas.openxmlformats.org/officeDocument/2006/docPropsVTypes"/>
</file>