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STC FRAMEWORK</w:t>
      </w:r>
    </w:p>
    <w:p>
      <w:pPr>
        <w:spacing w:after="120"/>
        <w:jc w:val="center"/>
      </w:pPr>
      <w:r>
        <w:rPr>
          <w:rFonts w:ascii="Arial" w:cs="Arial" w:eastAsia="Arial" w:hAnsi="Arial"/>
          <w:color w:val="2E6B9E"/>
          <w:sz w:val="36"/>
          <w:szCs w:val="36"/>
        </w:rPr>
        <w:t xml:space="preserve">Audit Readiness Package</w:t>
      </w:r>
    </w:p>
    <w:p>
      <w:pPr>
        <w:spacing w:after="400"/>
        <w:jc w:val="center"/>
      </w:pPr>
      <w:r>
        <w:rPr>
          <w:rFonts w:ascii="Arial" w:cs="Arial" w:eastAsia="Arial" w:hAnsi="Arial"/>
          <w:color w:val="757575"/>
          <w:sz w:val="22"/>
          <w:szCs w:val="22"/>
        </w:rPr>
        <w:t xml:space="preserve">Policy Suite · Control Inventory · Regulatory Mapping · Evidence Framework</w:t>
      </w:r>
    </w:p>
    <w:p>
      <w:pPr>
        <w:spacing w:after="80"/>
      </w:pPr>
    </w:p>
    <w:p>
      <w:pPr>
        <w:spacing w:after="80"/>
      </w:pPr>
    </w:p>
    <w:p>
      <w:pPr>
        <w:spacing w:after="80"/>
      </w:pPr>
    </w:p>
    <w:p>
      <w:pPr>
        <w:spacing w:after="60"/>
        <w:jc w:val="center"/>
      </w:pPr>
      <w:r>
        <w:rPr>
          <w:rFonts w:ascii="Arial" w:cs="Arial" w:eastAsia="Arial" w:hAnsi="Arial"/>
          <w:b/>
          <w:bCs/>
          <w:color w:val="C62828"/>
          <w:sz w:val="24"/>
          <w:szCs w:val="24"/>
        </w:rPr>
        <w:t xml:space="preserve">CLASSIFICATION: INTERNAL — AUDIT USE</w:t>
      </w:r>
    </w:p>
    <w:p>
      <w:pPr>
        <w:spacing w:after="80"/>
      </w:pPr>
    </w:p>
    <w:p>
      <w:pPr>
        <w:spacing w:after="80"/>
      </w:pPr>
    </w:p>
    <w:p>
      <w:pPr>
        <w:spacing w:after="80"/>
      </w:pPr>
    </w:p>
    <w:p>
      <w:pPr>
        <w:spacing w:after="80"/>
      </w:pPr>
    </w:p>
    <w:p>
      <w:pPr>
        <w:spacing w:after="60"/>
        <w:jc w:val="center"/>
      </w:pPr>
      <w:r>
        <w:rPr>
          <w:rFonts w:ascii="Arial" w:cs="Arial" w:eastAsia="Arial" w:hAnsi="Arial"/>
          <w:color w:val="444444"/>
          <w:sz w:val="22"/>
          <w:szCs w:val="22"/>
        </w:rPr>
        <w:t xml:space="preserve">Author: Nitesh Ambastha</w:t>
      </w:r>
    </w:p>
    <w:p>
      <w:pPr>
        <w:spacing w:after="60"/>
        <w:jc w:val="center"/>
      </w:pPr>
      <w:r>
        <w:rPr>
          <w:rFonts w:ascii="Arial" w:cs="Arial" w:eastAsia="Arial" w:hAnsi="Arial"/>
          <w:color w:val="444444"/>
          <w:sz w:val="22"/>
          <w:szCs w:val="22"/>
        </w:rPr>
        <w:t xml:space="preserve">Version 1.0 — March 2026</w:t>
      </w:r>
    </w:p>
    <w:p>
      <w:pPr>
        <w:jc w:val="center"/>
      </w:pPr>
      <w:r>
        <w:rPr>
          <w:rFonts w:ascii="Arial" w:cs="Arial" w:eastAsia="Arial" w:hAnsi="Arial"/>
          <w:color w:val="757575"/>
          <w:sz w:val="20"/>
          <w:szCs w:val="20"/>
        </w:rPr>
        <w:t xml:space="preserve">Prepared for Internal Audit, External Audit, and Regulatory Examination</w:t>
      </w:r>
    </w:p>
    <w:p>
      <w:r>
        <w:br w:type="page"/>
      </w:r>
    </w:p>
    <w:p>
      <w:pPr>
        <w:pStyle w:val="Heading1"/>
        <w:spacing w:before="360" w:after="200"/>
      </w:pPr>
      <w:r>
        <w:rPr>
          <w:rFonts w:ascii="Arial" w:cs="Arial" w:eastAsia="Arial" w:hAnsi="Arial"/>
          <w:b/>
          <w:bCs/>
          <w:color w:val="1B3A5C"/>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6"/>
          <w:szCs w:val="36"/>
        </w:rPr>
        <w:t xml:space="preserve">1. Executive Summary</w:t>
      </w:r>
    </w:p>
    <w:p>
      <w:pPr>
        <w:spacing w:after="120"/>
      </w:pPr>
      <w:r>
        <w:rPr>
          <w:rFonts w:ascii="Arial" w:cs="Arial" w:eastAsia="Arial" w:hAnsi="Arial"/>
          <w:sz w:val="22"/>
          <w:szCs w:val="22"/>
        </w:rPr>
        <w:t xml:space="preserve">This Audit Readiness Package provides comprehensive documentation for internal and external auditors evaluating the STC (Stalwart-Trainer-Critic) Framework. The package contains formal policies, a complete control inventory with testing evidence requirements, segregation of duties matrices, exception management procedures, vendor risk assessment frameworks, data flow documentation, and detailed regulatory control mappings.</w:t>
      </w:r>
    </w:p>
    <w:p>
      <w:pPr>
        <w:spacing w:after="80"/>
      </w:pPr>
    </w:p>
    <w:p>
      <w:pPr>
        <w:spacing w:after="120"/>
      </w:pPr>
      <w:r>
        <w:rPr>
          <w:rFonts w:ascii="Arial" w:cs="Arial" w:eastAsia="Arial" w:hAnsi="Arial"/>
          <w:sz w:val="22"/>
          <w:szCs w:val="22"/>
        </w:rPr>
        <w:t xml:space="preserve">The STC Framework is an AI agent architecture deployed in regulated financial services environments. It processes investment-related queries, retrieves proprietary documents, and generates responses through a governed pipeline with three AI personas (Stalwart, Trainer, Critic) and an infrastructure enforcement layer (Sentinel).</w:t>
      </w:r>
    </w:p>
    <w:p>
      <w:pPr>
        <w:spacing w:after="80"/>
      </w:pPr>
    </w:p>
    <w:p>
      <w:pPr>
        <w:spacing w:before="200" w:after="120"/>
      </w:pPr>
      <w:r>
        <w:rPr>
          <w:rFonts w:ascii="Arial" w:cs="Arial" w:eastAsia="Arial" w:hAnsi="Arial"/>
          <w:b/>
          <w:bCs/>
          <w:color w:val="1B3A5C"/>
          <w:sz w:val="24"/>
          <w:szCs w:val="24"/>
        </w:rPr>
        <w:t xml:space="preserve">Audit Scope</w:t>
      </w:r>
    </w:p>
    <w:p>
      <w:pPr>
        <w:spacing w:after="120"/>
      </w:pPr>
      <w:r>
        <w:rPr>
          <w:rFonts w:ascii="Arial" w:cs="Arial" w:eastAsia="Arial" w:hAnsi="Arial"/>
          <w:sz w:val="22"/>
          <w:szCs w:val="22"/>
        </w:rPr>
        <w:t xml:space="preserve">This package covers: AI system governance and risk management, data privacy and sovereignty controls, security architecture and access management, operational resilience and business continuity, model risk management, third-party/vendor risk management, change management and configuration control, and regulatory compliance (AIUC-1, NIST AI RMF, EU AI Act, SOC 2, FINRA).</w:t>
      </w:r>
    </w:p>
    <w:p>
      <w:r>
        <w:br w:type="page"/>
      </w:r>
    </w:p>
    <w:p>
      <w:pPr>
        <w:pStyle w:val="Heading1"/>
        <w:spacing w:before="360" w:after="200"/>
      </w:pPr>
      <w:r>
        <w:rPr>
          <w:rFonts w:ascii="Arial" w:cs="Arial" w:eastAsia="Arial" w:hAnsi="Arial"/>
          <w:b/>
          <w:bCs/>
          <w:color w:val="1B3A5C"/>
          <w:sz w:val="36"/>
          <w:szCs w:val="36"/>
        </w:rPr>
        <w:t xml:space="preserve">2. Policy Suite</w:t>
      </w:r>
    </w:p>
    <w:p>
      <w:pPr>
        <w:spacing w:after="120"/>
      </w:pPr>
      <w:r>
        <w:rPr>
          <w:rFonts w:ascii="Arial" w:cs="Arial" w:eastAsia="Arial" w:hAnsi="Arial"/>
          <w:sz w:val="22"/>
          <w:szCs w:val="22"/>
        </w:rPr>
        <w:t xml:space="preserve">The following policies govern the operation of the STC Framework. Each policy has a designated owner, review cycle, and approval authority.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1320"/>
        <w:gridCol w:w="2160"/>
        <w:gridCol w:w="1320"/>
      </w:tblGrid>
      <w:tr>
        <w:trPr>
          <w:tblHeader/>
        </w:trPr>
        <w:tc>
          <w:tcPr>
            <w:tcW w:type="dxa" w:w="288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168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3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2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Approval</w:t>
            </w:r>
          </w:p>
        </w:tc>
        <w:tc>
          <w:tcPr>
            <w:tcW w:type="dxa" w:w="13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Reviewed</w:t>
            </w:r>
          </w:p>
        </w:tc>
      </w:tr>
      <w:tr>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AI Acceptable Use Policy</w:t>
            </w:r>
          </w:p>
        </w:tc>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Global CIO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Annual</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Management Committee</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Classification &amp; Sovereignty Policy</w:t>
            </w:r>
          </w:p>
        </w:tc>
        <w:tc>
          <w:tcPr>
            <w:tcW w:type="dxa" w:w="1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CISO</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CISO + DPO</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AI Model Risk Management Policy</w:t>
            </w:r>
          </w:p>
        </w:tc>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Global CIO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Annual</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Model Risk Committee</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Change Management Policy</w:t>
            </w:r>
          </w:p>
        </w:tc>
        <w:tc>
          <w:tcPr>
            <w:tcW w:type="dxa" w:w="1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CTO</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Change Advisory Board</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Access Management &amp; Segregation of Duties</w:t>
            </w:r>
          </w:p>
        </w:tc>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CISO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Semi-annual</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CISO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Vendor &amp; Third-Party Risk Management</w:t>
            </w:r>
          </w:p>
        </w:tc>
        <w:tc>
          <w:tcPr>
            <w:tcW w:type="dxa" w:w="1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CISO / Procurement</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Vendor Risk Committee</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Incident Response &amp; Exception Management</w:t>
            </w:r>
          </w:p>
        </w:tc>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CISO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Semi-annual</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CISO + Global CIO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Retention &amp; Destruction Policy</w:t>
            </w:r>
          </w:p>
        </w:tc>
        <w:tc>
          <w:tcPr>
            <w:tcW w:type="dxa" w:w="1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DPO / Compliance</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DPO + Legal</w:t>
            </w:r>
          </w:p>
        </w:tc>
        <w:tc>
          <w:tcPr>
            <w:tcW w:type="dxa" w:w="1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Monitoring &amp; Alerting Policy</w:t>
            </w:r>
          </w:p>
        </w:tc>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CTO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Annual</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CTO + CISO</w:t>
            </w:r>
          </w:p>
        </w:tc>
        <w:tc>
          <w:tcPr>
            <w:tcW w:type="dxa" w:w="1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March 2026</w:t>
            </w:r>
          </w:p>
        </w:tc>
      </w:tr>
    </w:tbl>
    <w:p>
      <w:r>
        <w:br w:type="page"/>
      </w:r>
    </w:p>
    <w:p>
      <w:pPr>
        <w:pStyle w:val="Heading2"/>
        <w:spacing w:before="280" w:after="160"/>
      </w:pPr>
      <w:r>
        <w:rPr>
          <w:rFonts w:ascii="Arial" w:cs="Arial" w:eastAsia="Arial" w:hAnsi="Arial"/>
          <w:b/>
          <w:bCs/>
          <w:color w:val="2E6B9E"/>
          <w:sz w:val="28"/>
          <w:szCs w:val="28"/>
        </w:rPr>
        <w:t xml:space="preserve">2.1 AI Acceptable Use Policy</w:t>
      </w:r>
    </w:p>
    <w:p>
      <w:pPr>
        <w:spacing w:before="200" w:after="120"/>
      </w:pPr>
      <w:r>
        <w:rPr>
          <w:rFonts w:ascii="Arial" w:cs="Arial" w:eastAsia="Arial" w:hAnsi="Arial"/>
          <w:b/>
          <w:bCs/>
          <w:color w:val="1B3A5C"/>
          <w:sz w:val="24"/>
          <w:szCs w:val="24"/>
        </w:rPr>
        <w:t xml:space="preserve">Purpose</w:t>
      </w:r>
    </w:p>
    <w:p>
      <w:pPr>
        <w:spacing w:after="120"/>
      </w:pPr>
      <w:r>
        <w:rPr>
          <w:rFonts w:ascii="Arial" w:cs="Arial" w:eastAsia="Arial" w:hAnsi="Arial"/>
          <w:sz w:val="22"/>
          <w:szCs w:val="22"/>
        </w:rPr>
        <w:t xml:space="preserve">Defines acceptable and prohibited uses of AI systems within the organization, ensuring AI is deployed responsibly, ethically, and in compliance with applicable regulations.</w:t>
      </w:r>
    </w:p>
    <w:p>
      <w:pPr>
        <w:spacing w:before="200" w:after="120"/>
      </w:pPr>
      <w:r>
        <w:rPr>
          <w:rFonts w:ascii="Arial" w:cs="Arial" w:eastAsia="Arial" w:hAnsi="Arial"/>
          <w:b/>
          <w:bCs/>
          <w:color w:val="1B3A5C"/>
          <w:sz w:val="24"/>
          <w:szCs w:val="24"/>
        </w:rPr>
        <w:t xml:space="preserve">Scope</w:t>
      </w:r>
    </w:p>
    <w:p>
      <w:pPr>
        <w:spacing w:after="120"/>
      </w:pPr>
      <w:r>
        <w:rPr>
          <w:rFonts w:ascii="Arial" w:cs="Arial" w:eastAsia="Arial" w:hAnsi="Arial"/>
          <w:sz w:val="22"/>
          <w:szCs w:val="22"/>
        </w:rPr>
        <w:t xml:space="preserve">All AI systems deployed through the STC Framework, including Stalwart (execution), Trainer (optimization), and Critic (governance) personas, as well as any LLM providers accessed through the Sentinel gateway.</w:t>
      </w:r>
    </w:p>
    <w:p>
      <w:pPr>
        <w:spacing w:before="200" w:after="120"/>
      </w:pPr>
      <w:r>
        <w:rPr>
          <w:rFonts w:ascii="Arial" w:cs="Arial" w:eastAsia="Arial" w:hAnsi="Arial"/>
          <w:b/>
          <w:bCs/>
          <w:color w:val="1B3A5C"/>
          <w:sz w:val="24"/>
          <w:szCs w:val="24"/>
        </w:rPr>
        <w:t xml:space="preserve">Key Provisions</w:t>
      </w:r>
    </w:p>
    <w:p>
      <w:pPr>
        <w:spacing w:after="100"/>
      </w:pPr>
      <w:r>
        <w:rPr>
          <w:rFonts w:ascii="Arial" w:cs="Arial" w:eastAsia="Arial" w:hAnsi="Arial"/>
          <w:b/>
          <w:bCs/>
          <w:sz w:val="22"/>
          <w:szCs w:val="22"/>
        </w:rPr>
        <w:t xml:space="preserve">2.1.1 Permitted Uses: </w:t>
      </w:r>
      <w:r>
        <w:rPr>
          <w:rFonts w:ascii="Arial" w:cs="Arial" w:eastAsia="Arial" w:hAnsi="Arial"/>
          <w:sz w:val="22"/>
          <w:szCs w:val="22"/>
        </w:rPr>
        <w:t xml:space="preserve">Financial document Q&amp;A, portfolio analysis, regulatory document retrieval, market data summarization, and other use cases explicitly approved by the Global CIO and documented in the Declarative Specification.</w:t>
      </w:r>
    </w:p>
    <w:p>
      <w:pPr>
        <w:spacing w:after="100"/>
      </w:pPr>
      <w:r>
        <w:rPr>
          <w:rFonts w:ascii="Arial" w:cs="Arial" w:eastAsia="Arial" w:hAnsi="Arial"/>
          <w:b/>
          <w:bCs/>
          <w:sz w:val="22"/>
          <w:szCs w:val="22"/>
        </w:rPr>
        <w:t xml:space="preserve">2.1.2 Prohibited Uses: </w:t>
      </w:r>
      <w:r>
        <w:rPr>
          <w:rFonts w:ascii="Arial" w:cs="Arial" w:eastAsia="Arial" w:hAnsi="Arial"/>
          <w:sz w:val="22"/>
          <w:szCs w:val="22"/>
        </w:rPr>
        <w:t xml:space="preserve">Investment recommendations, trade execution, client-facing advice without human review, processing of material non-public information (MNPI), use of AI outputs as sole basis for regulatory filings, and any use not listed in the approved use case registry.</w:t>
      </w:r>
    </w:p>
    <w:p>
      <w:pPr>
        <w:spacing w:after="100"/>
      </w:pPr>
      <w:r>
        <w:rPr>
          <w:rFonts w:ascii="Arial" w:cs="Arial" w:eastAsia="Arial" w:hAnsi="Arial"/>
          <w:b/>
          <w:bCs/>
          <w:sz w:val="22"/>
          <w:szCs w:val="22"/>
        </w:rPr>
        <w:t xml:space="preserve">2.1.3 Human Oversight Requirements: </w:t>
      </w:r>
      <w:r>
        <w:rPr>
          <w:rFonts w:ascii="Arial" w:cs="Arial" w:eastAsia="Arial" w:hAnsi="Arial"/>
          <w:sz w:val="22"/>
          <w:szCs w:val="22"/>
        </w:rPr>
        <w:t xml:space="preserve">All AI-generated outputs in client-facing contexts require human review before distribution. The Critic persona provides automated first-pass governance, but does not replace human judgment for high-impact decisions. Human override capability must be available at all times.</w:t>
      </w:r>
    </w:p>
    <w:p>
      <w:pPr>
        <w:spacing w:after="100"/>
      </w:pPr>
      <w:r>
        <w:rPr>
          <w:rFonts w:ascii="Arial" w:cs="Arial" w:eastAsia="Arial" w:hAnsi="Arial"/>
          <w:b/>
          <w:bCs/>
          <w:sz w:val="22"/>
          <w:szCs w:val="22"/>
        </w:rPr>
        <w:t xml:space="preserve">2.1.4 Disclosure Requirements: </w:t>
      </w:r>
      <w:r>
        <w:rPr>
          <w:rFonts w:ascii="Arial" w:cs="Arial" w:eastAsia="Arial" w:hAnsi="Arial"/>
          <w:sz w:val="22"/>
          <w:szCs w:val="22"/>
        </w:rPr>
        <w:t xml:space="preserve">End users must be informed when interacting with AI-generated content. AI-generated reports must be labeled as such. The system must not represent AI outputs as human-authored.</w:t>
      </w:r>
    </w:p>
    <w:p>
      <w:pPr>
        <w:spacing w:after="100"/>
      </w:pPr>
      <w:r>
        <w:rPr>
          <w:rFonts w:ascii="Arial" w:cs="Arial" w:eastAsia="Arial" w:hAnsi="Arial"/>
          <w:b/>
          <w:bCs/>
          <w:sz w:val="22"/>
          <w:szCs w:val="22"/>
        </w:rPr>
        <w:t xml:space="preserve">2.1.5 Exception Process: </w:t>
      </w:r>
      <w:r>
        <w:rPr>
          <w:rFonts w:ascii="Arial" w:cs="Arial" w:eastAsia="Arial" w:hAnsi="Arial"/>
          <w:sz w:val="22"/>
          <w:szCs w:val="22"/>
        </w:rPr>
        <w:t xml:space="preserve">Any use case not in the approved registry requires submission to the AI Governance Committee with a risk assessment, impact analysis, and compliance review. See Section 7 for exception management procedures.</w:t>
      </w:r>
    </w:p>
    <w:p>
      <w:pPr>
        <w:spacing w:after="80"/>
      </w:pPr>
    </w:p>
    <w:p>
      <w:pPr>
        <w:pStyle w:val="Heading2"/>
        <w:spacing w:before="280" w:after="160"/>
      </w:pPr>
      <w:r>
        <w:rPr>
          <w:rFonts w:ascii="Arial" w:cs="Arial" w:eastAsia="Arial" w:hAnsi="Arial"/>
          <w:b/>
          <w:bCs/>
          <w:color w:val="2E6B9E"/>
          <w:sz w:val="28"/>
          <w:szCs w:val="28"/>
        </w:rPr>
        <w:t xml:space="preserve">2.2 Data Classification &amp; Sovereignty Policy</w:t>
      </w:r>
    </w:p>
    <w:p>
      <w:pPr>
        <w:spacing w:before="200" w:after="120"/>
      </w:pPr>
      <w:r>
        <w:rPr>
          <w:rFonts w:ascii="Arial" w:cs="Arial" w:eastAsia="Arial" w:hAnsi="Arial"/>
          <w:b/>
          <w:bCs/>
          <w:color w:val="1B3A5C"/>
          <w:sz w:val="24"/>
          <w:szCs w:val="24"/>
        </w:rPr>
        <w:t xml:space="preserve">Data Classification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4"/>
        <w:gridCol w:w="2340"/>
        <w:gridCol w:w="2978"/>
        <w:gridCol w:w="2978"/>
      </w:tblGrid>
      <w:tr>
        <w:trPr>
          <w:tblHeader/>
        </w:trPr>
        <w:tc>
          <w:tcPr>
            <w:tcW w:type="dxa" w:w="106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97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LLM Routing</w:t>
            </w:r>
          </w:p>
        </w:tc>
        <w:tc>
          <w:tcPr>
            <w:tcW w:type="dxa" w:w="297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0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Public</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Non-sensitive, publicly available</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Any provider (OpenAI, Anthropic, Bedrock, local)</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Market data, public filings, news</w:t>
            </w:r>
          </w:p>
        </w:tc>
      </w:tr>
      <w:tr>
        <w:tc>
          <w:tcPr>
            <w:tcW w:type="dxa" w:w="10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Internal</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Business-sensitive, not public</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VPC-only (AWS Bedrock, self-hosted)</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Internal reports, strategy docs, analytics</w:t>
            </w:r>
          </w:p>
        </w:tc>
      </w:tr>
      <w:tr>
        <w:tc>
          <w:tcPr>
            <w:tcW w:type="dxa" w:w="10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Restricted</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Regulated or highly sensitive</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Local models ONLY — never leaves boundary</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PII, client data, MNPI, trade data</w:t>
            </w:r>
          </w:p>
        </w:tc>
      </w:tr>
    </w:tbl>
    <w:p>
      <w:pPr>
        <w:spacing w:after="80"/>
      </w:pPr>
    </w:p>
    <w:p>
      <w:pPr>
        <w:spacing w:before="200" w:after="120"/>
      </w:pPr>
      <w:r>
        <w:rPr>
          <w:rFonts w:ascii="Arial" w:cs="Arial" w:eastAsia="Arial" w:hAnsi="Arial"/>
          <w:b/>
          <w:bCs/>
          <w:color w:val="1B3A5C"/>
          <w:sz w:val="24"/>
          <w:szCs w:val="24"/>
        </w:rPr>
        <w:t xml:space="preserve">Sovereignty Rules</w:t>
      </w:r>
    </w:p>
    <w:p>
      <w:pPr>
        <w:spacing w:after="100"/>
      </w:pPr>
      <w:r>
        <w:rPr>
          <w:rFonts w:ascii="Arial" w:cs="Arial" w:eastAsia="Arial" w:hAnsi="Arial"/>
          <w:b/>
          <w:bCs/>
          <w:sz w:val="22"/>
          <w:szCs w:val="22"/>
        </w:rPr>
        <w:t xml:space="preserve">2.2.1 Boundary Enforcement: </w:t>
      </w:r>
      <w:r>
        <w:rPr>
          <w:rFonts w:ascii="Arial" w:cs="Arial" w:eastAsia="Arial" w:hAnsi="Arial"/>
          <w:sz w:val="22"/>
          <w:szCs w:val="22"/>
        </w:rPr>
        <w:t xml:space="preserve">The Sentinel gateway classifies every request by data tier before routing. Restricted data is routed exclusively to local models. No override is available without CISO approval and audit trail documentation.</w:t>
      </w:r>
    </w:p>
    <w:p>
      <w:pPr>
        <w:spacing w:after="100"/>
      </w:pPr>
      <w:r>
        <w:rPr>
          <w:rFonts w:ascii="Arial" w:cs="Arial" w:eastAsia="Arial" w:hAnsi="Arial"/>
          <w:b/>
          <w:bCs/>
          <w:sz w:val="22"/>
          <w:szCs w:val="22"/>
        </w:rPr>
        <w:t xml:space="preserve">2.2.2 PII Handling: </w:t>
      </w:r>
      <w:r>
        <w:rPr>
          <w:rFonts w:ascii="Arial" w:cs="Arial" w:eastAsia="Arial" w:hAnsi="Arial"/>
          <w:sz w:val="22"/>
          <w:szCs w:val="22"/>
        </w:rPr>
        <w:t xml:space="preserve">All PII is detected by Presidio and replaced with surrogate tokens before any LLM call. Surrogate token maps are session-scoped, AES-256-GCM encrypted, and destroyed at session end. Original PII never leaves the local environment.</w:t>
      </w:r>
    </w:p>
    <w:p>
      <w:pPr>
        <w:spacing w:after="100"/>
      </w:pPr>
      <w:r>
        <w:rPr>
          <w:rFonts w:ascii="Arial" w:cs="Arial" w:eastAsia="Arial" w:hAnsi="Arial"/>
          <w:b/>
          <w:bCs/>
          <w:sz w:val="22"/>
          <w:szCs w:val="22"/>
        </w:rPr>
        <w:t xml:space="preserve">2.2.3 Cross-Border Transfer: </w:t>
      </w:r>
      <w:r>
        <w:rPr>
          <w:rFonts w:ascii="Arial" w:cs="Arial" w:eastAsia="Arial" w:hAnsi="Arial"/>
          <w:sz w:val="22"/>
          <w:szCs w:val="22"/>
        </w:rPr>
        <w:t xml:space="preserve">No data classified as Internal or Restricted may be transmitted to LLM providers outside the approved geographic boundary. Provider selection in the Declarative Specification must align with data residency requirements.</w:t>
      </w:r>
    </w:p>
    <w:p>
      <w:r>
        <w:br w:type="page"/>
      </w:r>
    </w:p>
    <w:p>
      <w:pPr>
        <w:pStyle w:val="Heading2"/>
        <w:spacing w:before="280" w:after="160"/>
      </w:pPr>
      <w:r>
        <w:rPr>
          <w:rFonts w:ascii="Arial" w:cs="Arial" w:eastAsia="Arial" w:hAnsi="Arial"/>
          <w:b/>
          <w:bCs/>
          <w:color w:val="2E6B9E"/>
          <w:sz w:val="28"/>
          <w:szCs w:val="28"/>
        </w:rPr>
        <w:t xml:space="preserve">2.3 AI Model Risk Management Policy</w:t>
      </w:r>
    </w:p>
    <w:p>
      <w:pPr>
        <w:spacing w:after="120"/>
      </w:pPr>
      <w:r>
        <w:rPr>
          <w:rFonts w:ascii="Arial" w:cs="Arial" w:eastAsia="Arial" w:hAnsi="Arial"/>
          <w:sz w:val="22"/>
          <w:szCs w:val="22"/>
        </w:rPr>
        <w:t xml:space="preserve">Aligned with OCC SR 11-7 (Supervisory Guidance on Model Risk Management) adapted for AI/ML models.</w:t>
      </w:r>
    </w:p>
    <w:p>
      <w:pPr>
        <w:spacing w:before="200" w:after="120"/>
      </w:pPr>
      <w:r>
        <w:rPr>
          <w:rFonts w:ascii="Arial" w:cs="Arial" w:eastAsia="Arial" w:hAnsi="Arial"/>
          <w:b/>
          <w:bCs/>
          <w:color w:val="1B3A5C"/>
          <w:sz w:val="24"/>
          <w:szCs w:val="24"/>
        </w:rPr>
        <w:t xml:space="preserve">Model Lifecycle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3191"/>
        <w:gridCol w:w="1915"/>
        <w:gridCol w:w="2978"/>
      </w:tblGrid>
      <w:tr>
        <w:trPr>
          <w:tblHeader/>
        </w:trPr>
        <w:tc>
          <w:tcPr>
            <w:tcW w:type="dxa" w:w="127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91"/>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Activities</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Approval</w:t>
            </w:r>
          </w:p>
        </w:tc>
        <w:tc>
          <w:tcPr>
            <w:tcW w:type="dxa" w:w="297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Selection</w:t>
            </w:r>
          </w:p>
        </w:tc>
        <w:tc>
          <w:tcPr>
            <w:tcW w:type="dxa" w:w="319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Vendor assessment, capability evaluation, security review</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AI Governance Committee</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Vendor scorecard, security assessment</w:t>
            </w:r>
          </w:p>
        </w:tc>
      </w:tr>
      <w:tr>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319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Provenance verification (checksum, source, model card), DLP testing</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CISO + Global CIO</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Provenance report, DLP test results</w:t>
            </w:r>
          </w:p>
        </w:tc>
      </w:tr>
      <w:tr>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19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Integration testing, adversarial testing, performance baseline</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Change Advisory Board</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Test results, baseline metrics</w:t>
            </w:r>
          </w:p>
        </w:tc>
      </w:tr>
      <w:tr>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19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Accuracy tracking, drift detection, cost monitoring, integrity checks</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Ongoing (automated)</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Dashboards, alert logs</w:t>
            </w:r>
          </w:p>
        </w:tc>
      </w:tr>
      <w:tr>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Optimization</w:t>
            </w:r>
          </w:p>
        </w:tc>
        <w:tc>
          <w:tcPr>
            <w:tcW w:type="dxa" w:w="319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Trainer-driven improvements with Critic validation</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Automated + quarterly review</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Optimization logs, Critic verdicts</w:t>
            </w:r>
          </w:p>
        </w:tc>
      </w:tr>
      <w:tr>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Retirement</w:t>
            </w:r>
          </w:p>
        </w:tc>
        <w:tc>
          <w:tcPr>
            <w:tcW w:type="dxa" w:w="319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Graceful deprecation, data cleanup, registry update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Global CIO</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Retirement record, data destruction certificate</w:t>
            </w:r>
          </w:p>
        </w:tc>
      </w:tr>
    </w:tbl>
    <w:p>
      <w:pPr>
        <w:spacing w:after="80"/>
      </w:pPr>
    </w:p>
    <w:p>
      <w:pPr>
        <w:spacing w:before="200" w:after="120"/>
      </w:pPr>
      <w:r>
        <w:rPr>
          <w:rFonts w:ascii="Arial" w:cs="Arial" w:eastAsia="Arial" w:hAnsi="Arial"/>
          <w:b/>
          <w:bCs/>
          <w:color w:val="1B3A5C"/>
          <w:sz w:val="24"/>
          <w:szCs w:val="24"/>
        </w:rPr>
        <w:t xml:space="preserve">Model Inventory</w:t>
      </w:r>
    </w:p>
    <w:p>
      <w:pPr>
        <w:spacing w:after="100"/>
      </w:pPr>
      <w:r>
        <w:rPr>
          <w:rFonts w:ascii="Arial" w:cs="Arial" w:eastAsia="Arial" w:hAnsi="Arial"/>
          <w:b/>
          <w:bCs/>
          <w:sz w:val="22"/>
          <w:szCs w:val="22"/>
        </w:rPr>
        <w:t xml:space="preserve">2.3.1 Registry: </w:t>
      </w:r>
      <w:r>
        <w:rPr>
          <w:rFonts w:ascii="Arial" w:cs="Arial" w:eastAsia="Arial" w:hAnsi="Arial"/>
          <w:sz w:val="22"/>
          <w:szCs w:val="22"/>
        </w:rPr>
        <w:t xml:space="preserve">All models used in the STC pipeline are registered in the Model Provenance Registry (sentinel/model_provenance.py) with SHA-256 checksums, source verification, and trust level classification.</w:t>
      </w:r>
    </w:p>
    <w:p>
      <w:pPr>
        <w:spacing w:after="100"/>
      </w:pPr>
      <w:r>
        <w:rPr>
          <w:rFonts w:ascii="Arial" w:cs="Arial" w:eastAsia="Arial" w:hAnsi="Arial"/>
          <w:b/>
          <w:bCs/>
          <w:sz w:val="22"/>
          <w:szCs w:val="22"/>
        </w:rPr>
        <w:t xml:space="preserve">2.3.2 Periodic Validation: </w:t>
      </w:r>
      <w:r>
        <w:rPr>
          <w:rFonts w:ascii="Arial" w:cs="Arial" w:eastAsia="Arial" w:hAnsi="Arial"/>
          <w:sz w:val="22"/>
          <w:szCs w:val="22"/>
        </w:rPr>
        <w:t xml:space="preserve">Runtime integrity checks run hourly. Full re-verification (checksum + source + model card) runs monthly. Results are stored in the audit trail.</w:t>
      </w:r>
    </w:p>
    <w:p>
      <w:pPr>
        <w:spacing w:after="100"/>
      </w:pPr>
      <w:r>
        <w:rPr>
          <w:rFonts w:ascii="Arial" w:cs="Arial" w:eastAsia="Arial" w:hAnsi="Arial"/>
          <w:b/>
          <w:bCs/>
          <w:sz w:val="22"/>
          <w:szCs w:val="22"/>
        </w:rPr>
        <w:t xml:space="preserve">2.3.3 Model Change: </w:t>
      </w:r>
      <w:r>
        <w:rPr>
          <w:rFonts w:ascii="Arial" w:cs="Arial" w:eastAsia="Arial" w:hAnsi="Arial"/>
          <w:sz w:val="22"/>
          <w:szCs w:val="22"/>
        </w:rPr>
        <w:t xml:space="preserve">Any change to model selection (including Trainer-initiated routing changes) is logged with before/after state, reason, and performance impact. Changes to production model routing require Change Advisory Board approval.</w:t>
      </w:r>
    </w:p>
    <w:p>
      <w:r>
        <w:br w:type="page"/>
      </w:r>
    </w:p>
    <w:p>
      <w:pPr>
        <w:pStyle w:val="Heading2"/>
        <w:spacing w:before="280" w:after="160"/>
      </w:pPr>
      <w:r>
        <w:rPr>
          <w:rFonts w:ascii="Arial" w:cs="Arial" w:eastAsia="Arial" w:hAnsi="Arial"/>
          <w:b/>
          <w:bCs/>
          <w:color w:val="2E6B9E"/>
          <w:sz w:val="28"/>
          <w:szCs w:val="28"/>
        </w:rPr>
        <w:t xml:space="preserve">2.4 Change Management Policy</w:t>
      </w:r>
    </w:p>
    <w:p>
      <w:pPr>
        <w:spacing w:before="200" w:after="120"/>
      </w:pPr>
      <w:r>
        <w:rPr>
          <w:rFonts w:ascii="Arial" w:cs="Arial" w:eastAsia="Arial" w:hAnsi="Arial"/>
          <w:b/>
          <w:bCs/>
          <w:color w:val="1B3A5C"/>
          <w:sz w:val="24"/>
          <w:szCs w:val="24"/>
        </w:rPr>
        <w:t xml:space="preserve">Change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2553"/>
        <w:gridCol w:w="2127"/>
        <w:gridCol w:w="1276"/>
        <w:gridCol w:w="2128"/>
      </w:tblGrid>
      <w:tr>
        <w:trPr>
          <w:tblHeader/>
        </w:trPr>
        <w:tc>
          <w:tcPr>
            <w:tcW w:type="dxa" w:w="127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5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127"/>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c>
          <w:tcPr>
            <w:tcW w:type="dxa" w:w="127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Lead Time</w:t>
            </w:r>
          </w:p>
        </w:tc>
        <w:tc>
          <w:tcPr>
            <w:tcW w:type="dxa" w:w="212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Testing Required</w:t>
            </w:r>
          </w:p>
        </w:tc>
      </w:tr>
      <w:tr>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Standard</w:t>
            </w:r>
          </w:p>
        </w:tc>
        <w:tc>
          <w:tcPr>
            <w:tcW w:type="dxa" w:w="25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Configuration changes within spec parameters</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Operator (admin role)</w:t>
            </w:r>
          </w:p>
        </w:tc>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24 hours</w:t>
            </w:r>
          </w:p>
        </w:tc>
        <w:tc>
          <w:tcPr>
            <w:tcW w:type="dxa" w:w="212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Automated test suite</w:t>
            </w:r>
          </w:p>
        </w:tc>
      </w:tr>
      <w:tr>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5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New model deployment, guardrail changes, routing updates</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Change Advisory Board</w:t>
            </w:r>
          </w:p>
        </w:tc>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 business days</w:t>
            </w:r>
          </w:p>
        </w:tc>
        <w:tc>
          <w:tcPr>
            <w:tcW w:type="dxa" w:w="212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Full adversarial + UAT</w:t>
            </w:r>
          </w:p>
        </w:tc>
      </w:tr>
      <w:tr>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Emergency</w:t>
            </w:r>
          </w:p>
        </w:tc>
        <w:tc>
          <w:tcPr>
            <w:tcW w:type="dxa" w:w="25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Critical security patch, incident response</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CISO (verbal) + CAB (within 48h)</w:t>
            </w:r>
          </w:p>
        </w:tc>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Immediate</w:t>
            </w:r>
          </w:p>
        </w:tc>
        <w:tc>
          <w:tcPr>
            <w:tcW w:type="dxa" w:w="212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Post-change validation</w:t>
            </w:r>
          </w:p>
        </w:tc>
      </w:tr>
      <w:tr>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Automated</w:t>
            </w:r>
          </w:p>
        </w:tc>
        <w:tc>
          <w:tcPr>
            <w:tcW w:type="dxa" w:w="25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Trainer optimization within approved bounds</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Pre-approved by spec</w:t>
            </w:r>
          </w:p>
        </w:tc>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Automatic</w:t>
            </w:r>
          </w:p>
        </w:tc>
        <w:tc>
          <w:tcPr>
            <w:tcW w:type="dxa" w:w="212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Critic validation</w:t>
            </w:r>
          </w:p>
        </w:tc>
      </w:tr>
    </w:tbl>
    <w:p>
      <w:pPr>
        <w:spacing w:after="80"/>
      </w:pPr>
    </w:p>
    <w:p>
      <w:pPr>
        <w:spacing w:after="100"/>
      </w:pPr>
      <w:r>
        <w:rPr>
          <w:rFonts w:ascii="Arial" w:cs="Arial" w:eastAsia="Arial" w:hAnsi="Arial"/>
          <w:b/>
          <w:bCs/>
          <w:sz w:val="22"/>
          <w:szCs w:val="22"/>
        </w:rPr>
        <w:t xml:space="preserve">2.4.1 Spec Versioning: </w:t>
      </w:r>
      <w:r>
        <w:rPr>
          <w:rFonts w:ascii="Arial" w:cs="Arial" w:eastAsia="Arial" w:hAnsi="Arial"/>
          <w:sz w:val="22"/>
          <w:szCs w:val="22"/>
        </w:rPr>
        <w:t xml:space="preserve">The Declarative Specification (stc-spec.yaml) is the single source of truth. Every change is version-controlled in git with commit author, timestamp, and change description. Rollback to any previous version is supported.</w:t>
      </w:r>
    </w:p>
    <w:p>
      <w:pPr>
        <w:spacing w:after="100"/>
      </w:pPr>
      <w:r>
        <w:rPr>
          <w:rFonts w:ascii="Arial" w:cs="Arial" w:eastAsia="Arial" w:hAnsi="Arial"/>
          <w:b/>
          <w:bCs/>
          <w:sz w:val="22"/>
          <w:szCs w:val="22"/>
        </w:rPr>
        <w:t xml:space="preserve">2.4.2 Automated Change Boundaries: </w:t>
      </w:r>
      <w:r>
        <w:rPr>
          <w:rFonts w:ascii="Arial" w:cs="Arial" w:eastAsia="Arial" w:hAnsi="Arial"/>
          <w:sz w:val="22"/>
          <w:szCs w:val="22"/>
        </w:rPr>
        <w:t xml:space="preserve">The Trainer persona may only optimize within bounds defined in the spec: approved model list, cost thresholds, and performance minimums. Changes outside these bounds trigger a Critic escalation and require human approval.</w:t>
      </w:r>
    </w:p>
    <w:p>
      <w:pPr>
        <w:spacing w:after="100"/>
      </w:pPr>
      <w:r>
        <w:rPr>
          <w:rFonts w:ascii="Arial" w:cs="Arial" w:eastAsia="Arial" w:hAnsi="Arial"/>
          <w:b/>
          <w:bCs/>
          <w:sz w:val="22"/>
          <w:szCs w:val="22"/>
        </w:rPr>
        <w:t xml:space="preserve">2.4.3 Change Evidence: </w:t>
      </w:r>
      <w:r>
        <w:rPr>
          <w:rFonts w:ascii="Arial" w:cs="Arial" w:eastAsia="Arial" w:hAnsi="Arial"/>
          <w:sz w:val="22"/>
          <w:szCs w:val="22"/>
        </w:rPr>
        <w:t xml:space="preserve">Every change produces: a change request (git commit or ticket), testing evidence (automated test results), approval record (CAB minutes or operator audit log), and post-change verification (health check results).</w:t>
      </w:r>
    </w:p>
    <w:p>
      <w:r>
        <w:br w:type="page"/>
      </w:r>
    </w:p>
    <w:p>
      <w:pPr>
        <w:pStyle w:val="Heading2"/>
        <w:spacing w:before="280" w:after="160"/>
      </w:pPr>
      <w:r>
        <w:rPr>
          <w:rFonts w:ascii="Arial" w:cs="Arial" w:eastAsia="Arial" w:hAnsi="Arial"/>
          <w:b/>
          <w:bCs/>
          <w:color w:val="2E6B9E"/>
          <w:sz w:val="28"/>
          <w:szCs w:val="28"/>
        </w:rPr>
        <w:t xml:space="preserve">2.5 Access Management &amp; Segregation of Duties</w:t>
      </w:r>
    </w:p>
    <w:p>
      <w:pPr>
        <w:spacing w:before="200" w:after="120"/>
      </w:pPr>
      <w:r>
        <w:rPr>
          <w:rFonts w:ascii="Arial" w:cs="Arial" w:eastAsia="Arial" w:hAnsi="Arial"/>
          <w:b/>
          <w:bCs/>
          <w:color w:val="1B3A5C"/>
          <w:sz w:val="24"/>
          <w:szCs w:val="24"/>
        </w:rPr>
        <w:t xml:space="preserve">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40"/>
        <w:gridCol w:w="2880"/>
        <w:gridCol w:w="1440"/>
      </w:tblGrid>
      <w:tr>
        <w:trPr>
          <w:tblHeader/>
        </w:trPr>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288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Assignment Criteria</w:t>
            </w:r>
          </w:p>
        </w:tc>
        <w:tc>
          <w:tcPr>
            <w:tcW w:type="dxa" w:w="14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Review Frequency</w:t>
            </w:r>
          </w:p>
        </w:tc>
      </w:tr>
      <w:tr>
        <w:tc>
          <w:tcPr>
            <w:tcW w:type="dxa" w:w="120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Admin</w:t>
            </w:r>
          </w:p>
        </w:tc>
        <w:tc>
          <w:tcPr>
            <w:tcW w:type="dxa" w:w="38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Full system control: suspend, rotate keys, modify spec, modify routing</w:t>
            </w:r>
          </w:p>
        </w:tc>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Global CIO, CISO, or designee</w:t>
            </w:r>
          </w:p>
        </w:tc>
        <w:tc>
          <w:tcPr>
            <w:tcW w:type="dxa" w:w="14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Operator</w:t>
            </w:r>
          </w:p>
        </w:tc>
        <w:tc>
          <w:tcPr>
            <w:tcW w:type="dxa" w:w="38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Monitor, reset escalation, rotate persona keys, view audit</w:t>
            </w:r>
          </w:p>
        </w:tc>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On-call engineering, SRE team</w:t>
            </w:r>
          </w:p>
        </w:tc>
        <w:tc>
          <w:tcPr>
            <w:tcW w:type="dxa" w:w="14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120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Auditor</w:t>
            </w:r>
          </w:p>
        </w:tc>
        <w:tc>
          <w:tcPr>
            <w:tcW w:type="dxa" w:w="38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Read-only access to all audit trails, compliance reports, dashboards</w:t>
            </w:r>
          </w:p>
        </w:tc>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Internal audit, compliance, external auditors</w:t>
            </w:r>
          </w:p>
        </w:tc>
        <w:tc>
          <w:tcPr>
            <w:tcW w:type="dxa" w:w="14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Per engagement</w:t>
            </w:r>
          </w:p>
        </w:tc>
      </w:tr>
      <w:tr>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38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Read-only access to dashboards and system status</w:t>
            </w:r>
          </w:p>
        </w:tc>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Development team, stakeholders</w:t>
            </w:r>
          </w:p>
        </w:tc>
        <w:tc>
          <w:tcPr>
            <w:tcW w:type="dxa" w:w="14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Semi-annual</w:t>
            </w:r>
          </w:p>
        </w:tc>
      </w:tr>
    </w:tbl>
    <w:p>
      <w:pPr>
        <w:spacing w:after="80"/>
      </w:pPr>
    </w:p>
    <w:p>
      <w:pPr>
        <w:spacing w:before="200" w:after="120"/>
      </w:pPr>
      <w:r>
        <w:rPr>
          <w:rFonts w:ascii="Arial" w:cs="Arial" w:eastAsia="Arial" w:hAnsi="Arial"/>
          <w:b/>
          <w:bCs/>
          <w:color w:val="1B3A5C"/>
          <w:sz w:val="24"/>
          <w:szCs w:val="24"/>
        </w:rPr>
        <w:t xml:space="preserve">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4"/>
        <w:gridCol w:w="1055"/>
        <w:gridCol w:w="1186"/>
        <w:gridCol w:w="1055"/>
        <w:gridCol w:w="1055"/>
        <w:gridCol w:w="1845"/>
      </w:tblGrid>
      <w:tr>
        <w:trPr>
          <w:tblHeader/>
        </w:trPr>
        <w:tc>
          <w:tcPr>
            <w:tcW w:type="dxa" w:w="316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05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18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105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105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Viewer</w:t>
            </w:r>
          </w:p>
        </w:tc>
        <w:tc>
          <w:tcPr>
            <w:tcW w:type="dxa" w:w="184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Governance</w:t>
            </w:r>
          </w:p>
        </w:tc>
      </w:tr>
      <w:tr>
        <w:tc>
          <w:tcPr>
            <w:tcW w:type="dxa" w:w="31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Deploy new model</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w:t>
            </w:r>
          </w:p>
        </w:tc>
        <w:tc>
          <w:tcPr>
            <w:tcW w:type="dxa" w:w="118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w:t>
            </w:r>
          </w:p>
        </w:tc>
        <w:tc>
          <w:tcPr>
            <w:tcW w:type="dxa" w:w="18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w:t>
            </w:r>
          </w:p>
        </w:tc>
      </w:tr>
      <w:tr>
        <w:tc>
          <w:tcPr>
            <w:tcW w:type="dxa" w:w="31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Modify Declarative Spec</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R/A</w:t>
            </w:r>
          </w:p>
        </w:tc>
        <w:tc>
          <w:tcPr>
            <w:tcW w:type="dxa" w:w="118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31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Rotate API keys</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w:t>
            </w:r>
          </w:p>
        </w:tc>
        <w:tc>
          <w:tcPr>
            <w:tcW w:type="dxa" w:w="118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t>
            </w:r>
          </w:p>
        </w:tc>
      </w:tr>
      <w:tr>
        <w:tc>
          <w:tcPr>
            <w:tcW w:type="dxa" w:w="31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Suspend system</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R/A</w:t>
            </w:r>
          </w:p>
        </w:tc>
        <w:tc>
          <w:tcPr>
            <w:tcW w:type="dxa" w:w="118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1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Review audit trail</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w:t>
            </w:r>
          </w:p>
        </w:tc>
        <w:tc>
          <w:tcPr>
            <w:tcW w:type="dxa" w:w="118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w:t>
            </w:r>
          </w:p>
        </w:tc>
      </w:tr>
      <w:tr>
        <w:tc>
          <w:tcPr>
            <w:tcW w:type="dxa" w:w="31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Approve exception</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w:t>
            </w:r>
          </w:p>
        </w:tc>
        <w:tc>
          <w:tcPr>
            <w:tcW w:type="dxa" w:w="118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R/A</w:t>
            </w:r>
          </w:p>
        </w:tc>
      </w:tr>
      <w:tr>
        <w:tc>
          <w:tcPr>
            <w:tcW w:type="dxa" w:w="31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Modify guardrails</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R/A</w:t>
            </w:r>
          </w:p>
        </w:tc>
        <w:tc>
          <w:tcPr>
            <w:tcW w:type="dxa" w:w="118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w:t>
            </w:r>
          </w:p>
        </w:tc>
      </w:tr>
      <w:tr>
        <w:tc>
          <w:tcPr>
            <w:tcW w:type="dxa" w:w="31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Vendor risk assessment</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18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R/A</w:t>
            </w:r>
          </w:p>
        </w:tc>
      </w:tr>
      <w:tr>
        <w:tc>
          <w:tcPr>
            <w:tcW w:type="dxa" w:w="31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UAT sign-off</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w:t>
            </w:r>
          </w:p>
        </w:tc>
        <w:tc>
          <w:tcPr>
            <w:tcW w:type="dxa" w:w="118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w:t>
            </w:r>
          </w:p>
        </w:tc>
        <w:tc>
          <w:tcPr>
            <w:tcW w:type="dxa" w:w="10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w:t>
            </w:r>
          </w:p>
        </w:tc>
      </w:tr>
      <w:tr>
        <w:tc>
          <w:tcPr>
            <w:tcW w:type="dxa" w:w="31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Incident investigation</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w:t>
            </w:r>
          </w:p>
        </w:tc>
        <w:tc>
          <w:tcPr>
            <w:tcW w:type="dxa" w:w="118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w:t>
            </w:r>
          </w:p>
        </w:tc>
        <w:tc>
          <w:tcPr>
            <w:tcW w:type="dxa" w:w="10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t>
            </w:r>
          </w:p>
        </w:tc>
        <w:tc>
          <w:tcPr>
            <w:tcW w:type="dxa" w:w="18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w:t>
            </w:r>
          </w:p>
        </w:tc>
      </w:tr>
    </w:tbl>
    <w:p>
      <w:pPr>
        <w:spacing w:after="80"/>
      </w:pPr>
    </w:p>
    <w:p>
      <w:pPr>
        <w:spacing w:after="120"/>
      </w:pPr>
      <w:r>
        <w:rPr>
          <w:rFonts w:ascii="Arial" w:cs="Arial" w:eastAsia="Arial" w:hAnsi="Arial"/>
          <w:sz w:val="22"/>
          <w:szCs w:val="22"/>
        </w:rPr>
        <w:t xml:space="preserve">R = Responsible, A = Accountable, C = Consulted, I = Informed. No single person may hold both R and A for the same activity unless explicitly documented and approved by the CISO.</w:t>
      </w:r>
    </w:p>
    <w:p>
      <w:pPr>
        <w:spacing w:before="200" w:after="120"/>
      </w:pPr>
      <w:r>
        <w:rPr>
          <w:rFonts w:ascii="Arial" w:cs="Arial" w:eastAsia="Arial" w:hAnsi="Arial"/>
          <w:b/>
          <w:bCs/>
          <w:color w:val="1B3A5C"/>
          <w:sz w:val="24"/>
          <w:szCs w:val="24"/>
        </w:rPr>
        <w:t xml:space="preserve">Segregation of Duties Controls</w:t>
      </w:r>
    </w:p>
    <w:p>
      <w:pPr>
        <w:spacing w:after="100"/>
      </w:pPr>
      <w:r>
        <w:rPr>
          <w:rFonts w:ascii="Arial" w:cs="Arial" w:eastAsia="Arial" w:hAnsi="Arial"/>
          <w:b/>
          <w:bCs/>
          <w:sz w:val="22"/>
          <w:szCs w:val="22"/>
        </w:rPr>
        <w:t xml:space="preserve">2.5.1 </w:t>
      </w:r>
      <w:r>
        <w:rPr>
          <w:rFonts w:ascii="Arial" w:cs="Arial" w:eastAsia="Arial" w:hAnsi="Arial"/>
          <w:sz w:val="22"/>
          <w:szCs w:val="22"/>
        </w:rPr>
        <w:t xml:space="preserve">The person who deploys a model cannot be the same person who approves the deployment.</w:t>
      </w:r>
    </w:p>
    <w:p>
      <w:pPr>
        <w:spacing w:after="100"/>
      </w:pPr>
      <w:r>
        <w:rPr>
          <w:rFonts w:ascii="Arial" w:cs="Arial" w:eastAsia="Arial" w:hAnsi="Arial"/>
          <w:b/>
          <w:bCs/>
          <w:sz w:val="22"/>
          <w:szCs w:val="22"/>
        </w:rPr>
        <w:t xml:space="preserve">2.5.2 </w:t>
      </w:r>
      <w:r>
        <w:rPr>
          <w:rFonts w:ascii="Arial" w:cs="Arial" w:eastAsia="Arial" w:hAnsi="Arial"/>
          <w:sz w:val="22"/>
          <w:szCs w:val="22"/>
        </w:rPr>
        <w:t xml:space="preserve">The person who modifies the Declarative Specification cannot be the sole reviewer of the change.</w:t>
      </w:r>
    </w:p>
    <w:p>
      <w:pPr>
        <w:spacing w:after="100"/>
      </w:pPr>
      <w:r>
        <w:rPr>
          <w:rFonts w:ascii="Arial" w:cs="Arial" w:eastAsia="Arial" w:hAnsi="Arial"/>
          <w:b/>
          <w:bCs/>
          <w:sz w:val="22"/>
          <w:szCs w:val="22"/>
        </w:rPr>
        <w:t xml:space="preserve">2.5.3 </w:t>
      </w:r>
      <w:r>
        <w:rPr>
          <w:rFonts w:ascii="Arial" w:cs="Arial" w:eastAsia="Arial" w:hAnsi="Arial"/>
          <w:sz w:val="22"/>
          <w:szCs w:val="22"/>
        </w:rPr>
        <w:t xml:space="preserve">Auditor role cannot be combined with Admin or Operator roles.</w:t>
      </w:r>
    </w:p>
    <w:p>
      <w:pPr>
        <w:spacing w:after="100"/>
      </w:pPr>
      <w:r>
        <w:rPr>
          <w:rFonts w:ascii="Arial" w:cs="Arial" w:eastAsia="Arial" w:hAnsi="Arial"/>
          <w:b/>
          <w:bCs/>
          <w:sz w:val="22"/>
          <w:szCs w:val="22"/>
        </w:rPr>
        <w:t xml:space="preserve">2.5.4 </w:t>
      </w:r>
      <w:r>
        <w:rPr>
          <w:rFonts w:ascii="Arial" w:cs="Arial" w:eastAsia="Arial" w:hAnsi="Arial"/>
          <w:sz w:val="22"/>
          <w:szCs w:val="22"/>
        </w:rPr>
        <w:t xml:space="preserve">Key rotation initiated by one operator must be verified by a second operator or admin.</w:t>
      </w:r>
    </w:p>
    <w:p>
      <w:pPr>
        <w:spacing w:after="100"/>
      </w:pPr>
      <w:r>
        <w:rPr>
          <w:rFonts w:ascii="Arial" w:cs="Arial" w:eastAsia="Arial" w:hAnsi="Arial"/>
          <w:b/>
          <w:bCs/>
          <w:sz w:val="22"/>
          <w:szCs w:val="22"/>
        </w:rPr>
        <w:t xml:space="preserve">2.5.5 </w:t>
      </w:r>
      <w:r>
        <w:rPr>
          <w:rFonts w:ascii="Arial" w:cs="Arial" w:eastAsia="Arial" w:hAnsi="Arial"/>
          <w:sz w:val="22"/>
          <w:szCs w:val="22"/>
        </w:rPr>
        <w:t xml:space="preserve">Access reviews are conducted quarterly by the CISO, with results documented and exceptions tracked.</w:t>
      </w:r>
    </w:p>
    <w:p>
      <w:r>
        <w:br w:type="page"/>
      </w:r>
    </w:p>
    <w:p>
      <w:pPr>
        <w:pStyle w:val="Heading2"/>
        <w:spacing w:before="280" w:after="160"/>
      </w:pPr>
      <w:r>
        <w:rPr>
          <w:rFonts w:ascii="Arial" w:cs="Arial" w:eastAsia="Arial" w:hAnsi="Arial"/>
          <w:b/>
          <w:bCs/>
          <w:color w:val="2E6B9E"/>
          <w:sz w:val="28"/>
          <w:szCs w:val="28"/>
        </w:rPr>
        <w:t xml:space="preserve">2.6 Vendor &amp; Third-Party Risk Management</w:t>
      </w:r>
    </w:p>
    <w:p>
      <w:pPr>
        <w:spacing w:before="200" w:after="120"/>
      </w:pPr>
      <w:r>
        <w:rPr>
          <w:rFonts w:ascii="Arial" w:cs="Arial" w:eastAsia="Arial" w:hAnsi="Arial"/>
          <w:b/>
          <w:bCs/>
          <w:color w:val="1B3A5C"/>
          <w:sz w:val="24"/>
          <w:szCs w:val="24"/>
        </w:rPr>
        <w:t xml:space="preserve">LLM Provider Risk Assessment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640"/>
        <w:gridCol w:w="2880"/>
        <w:gridCol w:w="2160"/>
      </w:tblGrid>
      <w:tr>
        <w:trPr>
          <w:tblHeader/>
        </w:trPr>
        <w:tc>
          <w:tcPr>
            <w:tcW w:type="dxa" w:w="168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 Area</w:t>
            </w:r>
          </w:p>
        </w:tc>
        <w:tc>
          <w:tcPr>
            <w:tcW w:type="dxa" w:w="26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c>
          <w:tcPr>
            <w:tcW w:type="dxa" w:w="288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Required</w:t>
            </w:r>
          </w:p>
        </w:tc>
        <w:tc>
          <w:tcPr>
            <w:tcW w:type="dxa" w:w="2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Minimum Standard</w:t>
            </w:r>
          </w:p>
        </w:tc>
      </w:tr>
      <w:tr>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Posture</w:t>
            </w:r>
          </w:p>
        </w:tc>
        <w:tc>
          <w:tcPr>
            <w:tcW w:type="dxa" w:w="26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SOC 2 Type II? ISO 27001? Pen test frequency?</w:t>
            </w:r>
          </w:p>
        </w:tc>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SOC 2 report, ISO cert, pen test summary</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SOC 2 Type II current</w:t>
            </w:r>
          </w:p>
        </w:tc>
      </w:tr>
      <w:tr>
        <w:tc>
          <w:tcPr>
            <w:tcW w:type="dxa" w:w="1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Handling</w:t>
            </w:r>
          </w:p>
        </w:tc>
        <w:tc>
          <w:tcPr>
            <w:tcW w:type="dxa" w:w="26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retention? Training on customer data? Logging?</w:t>
            </w:r>
          </w:p>
        </w:tc>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processing agreement, privacy policy</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training on customer data</w:t>
            </w:r>
          </w:p>
        </w:tc>
      </w:tr>
      <w:tr>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26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SLA? Redundancy? Incident history?</w:t>
            </w:r>
          </w:p>
        </w:tc>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SLA document, uptime reports</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99.9% uptime SLA</w:t>
            </w:r>
          </w:p>
        </w:tc>
      </w:tr>
      <w:tr>
        <w:tc>
          <w:tcPr>
            <w:tcW w:type="dxa" w:w="1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26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GDPR? CCPA? Financial services clearance?</w:t>
            </w:r>
          </w:p>
        </w:tc>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Compliance attestations</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GDPR compliant at minimum</w:t>
            </w:r>
          </w:p>
        </w:tc>
      </w:tr>
      <w:tr>
        <w:tc>
          <w:tcPr>
            <w:tcW w:type="dxa" w:w="16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Exit Strategy</w:t>
            </w:r>
          </w:p>
        </w:tc>
        <w:tc>
          <w:tcPr>
            <w:tcW w:type="dxa" w:w="26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Data portability? Alternative providers? Lock-in risk?</w:t>
            </w:r>
          </w:p>
        </w:tc>
        <w:tc>
          <w:tcPr>
            <w:tcW w:type="dxa" w:w="288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API compatibility assessment</w:t>
            </w:r>
          </w:p>
        </w:tc>
        <w:tc>
          <w:tcPr>
            <w:tcW w:type="dxa" w:w="216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Standard API, no lock-in</w:t>
            </w:r>
          </w:p>
        </w:tc>
      </w:tr>
      <w:tr>
        <w:tc>
          <w:tcPr>
            <w:tcW w:type="dxa" w:w="1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AI Safety</w:t>
            </w:r>
          </w:p>
        </w:tc>
        <w:tc>
          <w:tcPr>
            <w:tcW w:type="dxa" w:w="26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Content filtering? Bias testing? Red teaming?</w:t>
            </w:r>
          </w:p>
        </w:tc>
        <w:tc>
          <w:tcPr>
            <w:tcW w:type="dxa" w:w="28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Safety documentation, model cards</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Published safety practices</w:t>
            </w:r>
          </w:p>
        </w:tc>
      </w:tr>
    </w:tbl>
    <w:p>
      <w:pPr>
        <w:spacing w:after="80"/>
      </w:pPr>
    </w:p>
    <w:p>
      <w:pPr>
        <w:spacing w:before="200" w:after="120"/>
      </w:pPr>
      <w:r>
        <w:rPr>
          <w:rFonts w:ascii="Arial" w:cs="Arial" w:eastAsia="Arial" w:hAnsi="Arial"/>
          <w:b/>
          <w:bCs/>
          <w:color w:val="1B3A5C"/>
          <w:sz w:val="24"/>
          <w:szCs w:val="24"/>
        </w:rPr>
        <w:t xml:space="preserve">Current Provider Assessment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9"/>
        <w:gridCol w:w="1387"/>
        <w:gridCol w:w="1849"/>
        <w:gridCol w:w="1849"/>
        <w:gridCol w:w="1271"/>
        <w:gridCol w:w="1155"/>
      </w:tblGrid>
      <w:tr>
        <w:trPr>
          <w:tblHeader/>
        </w:trPr>
        <w:tc>
          <w:tcPr>
            <w:tcW w:type="dxa" w:w="184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387"/>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SOC 2</w:t>
            </w:r>
          </w:p>
        </w:tc>
        <w:tc>
          <w:tcPr>
            <w:tcW w:type="dxa" w:w="184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 Training</w:t>
            </w:r>
          </w:p>
        </w:tc>
        <w:tc>
          <w:tcPr>
            <w:tcW w:type="dxa" w:w="184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Agreement</w:t>
            </w:r>
          </w:p>
        </w:tc>
        <w:tc>
          <w:tcPr>
            <w:tcW w:type="dxa" w:w="1271"/>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Overall Risk</w:t>
            </w:r>
          </w:p>
        </w:tc>
        <w:tc>
          <w:tcPr>
            <w:tcW w:type="dxa" w:w="115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Assessed</w:t>
            </w:r>
          </w:p>
        </w:tc>
      </w:tr>
      <w:tr>
        <w:tc>
          <w:tcPr>
            <w:tcW w:type="dxa" w:w="184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OpenAI (GPT-4)</w:t>
            </w:r>
          </w:p>
        </w:tc>
        <w:tc>
          <w:tcPr>
            <w:tcW w:type="dxa" w:w="138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Yes (Type II)</w:t>
            </w:r>
          </w:p>
        </w:tc>
        <w:tc>
          <w:tcPr>
            <w:tcW w:type="dxa" w:w="184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Opt-out available</w:t>
            </w:r>
          </w:p>
        </w:tc>
        <w:tc>
          <w:tcPr>
            <w:tcW w:type="dxa" w:w="184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Enterprise DPA</w:t>
            </w:r>
          </w:p>
        </w:tc>
        <w:tc>
          <w:tcPr>
            <w:tcW w:type="dxa" w:w="127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Medium</w:t>
            </w:r>
          </w:p>
        </w:tc>
        <w:tc>
          <w:tcPr>
            <w:tcW w:type="dxa" w:w="11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Q1 2026</w:t>
            </w:r>
          </w:p>
        </w:tc>
      </w:tr>
      <w:tr>
        <w:tc>
          <w:tcPr>
            <w:tcW w:type="dxa" w:w="184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Anthropic (Claude)</w:t>
            </w:r>
          </w:p>
        </w:tc>
        <w:tc>
          <w:tcPr>
            <w:tcW w:type="dxa" w:w="138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Yes (Type II)</w:t>
            </w:r>
          </w:p>
        </w:tc>
        <w:tc>
          <w:tcPr>
            <w:tcW w:type="dxa" w:w="184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training on API data</w:t>
            </w:r>
          </w:p>
        </w:tc>
        <w:tc>
          <w:tcPr>
            <w:tcW w:type="dxa" w:w="184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Enterprise DPA</w:t>
            </w:r>
          </w:p>
        </w:tc>
        <w:tc>
          <w:tcPr>
            <w:tcW w:type="dxa" w:w="127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Low</w:t>
            </w:r>
          </w:p>
        </w:tc>
        <w:tc>
          <w:tcPr>
            <w:tcW w:type="dxa" w:w="11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Q1 2026</w:t>
            </w:r>
          </w:p>
        </w:tc>
      </w:tr>
      <w:tr>
        <w:tc>
          <w:tcPr>
            <w:tcW w:type="dxa" w:w="184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AWS Bedrock</w:t>
            </w:r>
          </w:p>
        </w:tc>
        <w:tc>
          <w:tcPr>
            <w:tcW w:type="dxa" w:w="138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Yes (SOC 1/2/3)</w:t>
            </w:r>
          </w:p>
        </w:tc>
        <w:tc>
          <w:tcPr>
            <w:tcW w:type="dxa" w:w="184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Within VPC boundary</w:t>
            </w:r>
          </w:p>
        </w:tc>
        <w:tc>
          <w:tcPr>
            <w:tcW w:type="dxa" w:w="184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Enterprise agreement</w:t>
            </w:r>
          </w:p>
        </w:tc>
        <w:tc>
          <w:tcPr>
            <w:tcW w:type="dxa" w:w="127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Low</w:t>
            </w:r>
          </w:p>
        </w:tc>
        <w:tc>
          <w:tcPr>
            <w:tcW w:type="dxa" w:w="115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Q1 2026</w:t>
            </w:r>
          </w:p>
        </w:tc>
      </w:tr>
      <w:tr>
        <w:tc>
          <w:tcPr>
            <w:tcW w:type="dxa" w:w="184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Ollama (Local)</w:t>
            </w:r>
          </w:p>
        </w:tc>
        <w:tc>
          <w:tcPr>
            <w:tcW w:type="dxa" w:w="138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 (self-hosted)</w:t>
            </w:r>
          </w:p>
        </w:tc>
        <w:tc>
          <w:tcPr>
            <w:tcW w:type="dxa" w:w="184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 (local)</w:t>
            </w:r>
          </w:p>
        </w:tc>
        <w:tc>
          <w:tcPr>
            <w:tcW w:type="dxa" w:w="184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w:t>
            </w:r>
          </w:p>
        </w:tc>
        <w:tc>
          <w:tcPr>
            <w:tcW w:type="dxa" w:w="127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Low (infrastructure)</w:t>
            </w:r>
          </w:p>
        </w:tc>
        <w:tc>
          <w:tcPr>
            <w:tcW w:type="dxa" w:w="115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Q1 2026</w:t>
            </w:r>
          </w:p>
        </w:tc>
      </w:tr>
    </w:tbl>
    <w:p>
      <w:pPr>
        <w:spacing w:after="80"/>
      </w:pPr>
    </w:p>
    <w:p>
      <w:pPr>
        <w:spacing w:after="120"/>
      </w:pPr>
      <w:r>
        <w:rPr>
          <w:rFonts w:ascii="Arial" w:cs="Arial" w:eastAsia="Arial" w:hAnsi="Arial"/>
          <w:sz w:val="22"/>
          <w:szCs w:val="22"/>
        </w:rPr>
        <w:t xml:space="preserve">Vendor assessments are reviewed annually or upon material change (provider acquisition, security incident, policy change, new regulation). The Vendor Risk Committee maintains the assessment register.</w:t>
      </w:r>
    </w:p>
    <w:p>
      <w:r>
        <w:br w:type="page"/>
      </w:r>
    </w:p>
    <w:p>
      <w:pPr>
        <w:pStyle w:val="Heading1"/>
        <w:spacing w:before="360" w:after="200"/>
      </w:pPr>
      <w:r>
        <w:rPr>
          <w:rFonts w:ascii="Arial" w:cs="Arial" w:eastAsia="Arial" w:hAnsi="Arial"/>
          <w:b/>
          <w:bCs/>
          <w:color w:val="1B3A5C"/>
          <w:sz w:val="36"/>
          <w:szCs w:val="36"/>
        </w:rPr>
        <w:t xml:space="preserve">3. Control Inventory</w:t>
      </w:r>
    </w:p>
    <w:p>
      <w:pPr>
        <w:spacing w:after="120"/>
      </w:pPr>
      <w:r>
        <w:rPr>
          <w:rFonts w:ascii="Arial" w:cs="Arial" w:eastAsia="Arial" w:hAnsi="Arial"/>
          <w:sz w:val="22"/>
          <w:szCs w:val="22"/>
        </w:rPr>
        <w:t xml:space="preserve">This section provides a comprehensive inventory of all STC security, governance, and operational controls. Each control has a unique ID, description, testing procedure, evidence requirement, and testing frequency.</w:t>
      </w:r>
    </w:p>
    <w:p>
      <w:pPr>
        <w:spacing w:after="80"/>
      </w:pPr>
    </w:p>
    <w:p>
      <w:pPr>
        <w:pStyle w:val="Heading2"/>
        <w:spacing w:before="280" w:after="160"/>
      </w:pPr>
      <w:r>
        <w:rPr>
          <w:rFonts w:ascii="Arial" w:cs="Arial" w:eastAsia="Arial" w:hAnsi="Arial"/>
          <w:b/>
          <w:bCs/>
          <w:color w:val="2E6B9E"/>
          <w:sz w:val="28"/>
          <w:szCs w:val="28"/>
        </w:rPr>
        <w:t xml:space="preserve">3.1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5"/>
        <w:gridCol w:w="1595"/>
        <w:gridCol w:w="1702"/>
        <w:gridCol w:w="2340"/>
        <w:gridCol w:w="2127"/>
        <w:gridCol w:w="851"/>
      </w:tblGrid>
      <w:tr>
        <w:trPr>
          <w:tblHeader/>
        </w:trPr>
        <w:tc>
          <w:tcPr>
            <w:tcW w:type="dxa" w:w="74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9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702"/>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3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Testing Procedure</w:t>
            </w:r>
          </w:p>
        </w:tc>
        <w:tc>
          <w:tcPr>
            <w:tcW w:type="dxa" w:w="2127"/>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851"/>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SEC-001</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Runtime AI Firewall</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LlamaFirewall (PromptGuard + AlignmentCheck + CodeShield)</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Run adversarial test suite (8 MITRE ATLAS probes); verify &gt;95% detection</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Test results log with pass/fail per probe</w:t>
            </w:r>
          </w:p>
        </w:tc>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SEC-002</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Detection &amp; Masking</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Presidio analyzer + surrogate tokenization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Submit 20 test queries with known PII; verify 100% detection and masking</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test results, surrogate mapping verification</w:t>
            </w:r>
          </w:p>
        </w:tc>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SEC-003</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Data Sovereignty Routing</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Gateway data tier classification + model routing</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Submit restricted-tier query; verify it routes to local model only</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Routing decision logs, model selection audit</w:t>
            </w:r>
          </w:p>
        </w:tc>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SEC-004</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RBAC Enforcement</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Casbin policy engine with 4 operator roles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Attempt unauthorized action per role; verify denial</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Auth denial logs, access review records</w:t>
            </w:r>
          </w:p>
        </w:tc>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SEC-005</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API Key Management</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Per-persona keys with SHA-256 hashing and rotation</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Verify key rotation occurs on schedule; verify old keys are invalidated</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Rotation event logs, key invalidation proof</w:t>
            </w:r>
          </w:p>
        </w:tc>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SEC-006</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Secret Management</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Vault/AWS SM/Env backend with caching and rotation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Verify secrets are not in plaintext logs; verify rotation schedule</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Vault audit logs, rotation records</w:t>
            </w:r>
          </w:p>
        </w:tc>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SEC-007</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DLP Scanning</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Presidio output scan + prompt injection detection</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Submit test queries designed to exfiltrate data; verify blocking</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DLP scan results, blocked query logs</w:t>
            </w:r>
          </w:p>
        </w:tc>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SEC-008</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Model Provenance</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SHA-256 checksums, source verification, integrity monitoring</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Tamper with model file; verify detection within 1 hour</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Integrity check logs, alert records</w:t>
            </w:r>
          </w:p>
        </w:tc>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SEC-009</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Network Segmentation</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Tier-based network isolation per reference architecture</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Attempt direct LLM API call bypassing gateway; verify failure</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Network scan results, firewall rule audit</w:t>
            </w:r>
          </w:p>
        </w:tc>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SEC-010</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Encryption (Transit)</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TLS 1.2+ for all external connections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Verify TLS version on all external connections</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TLS scan results (sslyze/testssl)</w:t>
            </w:r>
          </w:p>
        </w:tc>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SEC-011</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Encryption (Rest)</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AES-256 for token maps; encrypted volumes for stores</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Verify data is encrypted on disk; attempt raw read</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Encryption configuration audit</w:t>
            </w:r>
          </w:p>
        </w:tc>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bl>
    <w:p>
      <w:r>
        <w:br w:type="page"/>
      </w:r>
    </w:p>
    <w:p>
      <w:pPr>
        <w:pStyle w:val="Heading2"/>
        <w:spacing w:before="280" w:after="160"/>
      </w:pPr>
      <w:r>
        <w:rPr>
          <w:rFonts w:ascii="Arial" w:cs="Arial" w:eastAsia="Arial" w:hAnsi="Arial"/>
          <w:b/>
          <w:bCs/>
          <w:color w:val="2E6B9E"/>
          <w:sz w:val="28"/>
          <w:szCs w:val="28"/>
        </w:rPr>
        <w:t xml:space="preserve">3.2 Governance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5"/>
        <w:gridCol w:w="1595"/>
        <w:gridCol w:w="1915"/>
        <w:gridCol w:w="2340"/>
        <w:gridCol w:w="1915"/>
        <w:gridCol w:w="850"/>
      </w:tblGrid>
      <w:tr>
        <w:trPr>
          <w:tblHeader/>
        </w:trPr>
        <w:tc>
          <w:tcPr>
            <w:tcW w:type="dxa" w:w="74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9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3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Testing Procedure</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85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GOV-001</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 Output Validation</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NeMo Guardrails + Guardrails AI validators</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Submit 10 test queries with known-bad outputs; verify Critic catches all</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 verdict logs, escalation records</w:t>
            </w:r>
          </w:p>
        </w:tc>
        <w:tc>
          <w:tcPr>
            <w:tcW w:type="dxa" w:w="85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GOV-002</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Hallucination Detection</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Numerical accuracy validator + citation check</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Submit queries with verifiable numerical answers; check accuracy</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Accuracy test results, hallucination rate</w:t>
            </w:r>
          </w:p>
        </w:tc>
        <w:tc>
          <w:tcPr>
            <w:tcW w:type="dxa" w:w="8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GOV-003</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Scope Enforcement</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Scope boundary validator (investment advice prohibition)</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Submit out-of-scope queries; verify rejection</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Scope violation logs, rejection messages</w:t>
            </w:r>
          </w:p>
        </w:tc>
        <w:tc>
          <w:tcPr>
            <w:tcW w:type="dxa" w:w="85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GOV-004</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Graduated Escalation</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4-level: nominal → degraded → quarantine → suspension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Trigger escalation through repeated failures; verify progression</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 event logs, state transitions</w:t>
            </w:r>
          </w:p>
        </w:tc>
        <w:tc>
          <w:tcPr>
            <w:tcW w:type="dxa" w:w="8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GOV-005</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Human Override</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Admin suspension + operator escalation reset</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Verify admin can suspend system; verify operator cannot bypass suspension</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Suspension/resume audit logs</w:t>
            </w:r>
          </w:p>
        </w:tc>
        <w:tc>
          <w:tcPr>
            <w:tcW w:type="dxa" w:w="85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GOV-006</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Trail Immutability</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Append-only JSONL + Parquet export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Attempt to modify/delete audit records; verify failure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File integrity monitoring logs</w:t>
            </w:r>
          </w:p>
        </w:tc>
        <w:tc>
          <w:tcPr>
            <w:tcW w:type="dxa" w:w="8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GOV-007</w:t>
            </w:r>
          </w:p>
        </w:tc>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Change Control</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Git-versioned spec + CAB approval process</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Review last 10 spec changes; verify all have approval records</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Git log, CAB minutes, approval records</w:t>
            </w:r>
          </w:p>
        </w:tc>
        <w:tc>
          <w:tcPr>
            <w:tcW w:type="dxa" w:w="85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74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GOV-008</w:t>
            </w:r>
          </w:p>
        </w:tc>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Exception Management</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Exception register with lifecycle tracking</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Review open exceptions; verify all have owners and SLAs</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Exception register export</w:t>
            </w:r>
          </w:p>
        </w:tc>
        <w:tc>
          <w:tcPr>
            <w:tcW w:type="dxa" w:w="8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Monthly</w:t>
            </w:r>
          </w:p>
        </w:tc>
      </w:tr>
    </w:tbl>
    <w:p>
      <w:r>
        <w:br w:type="page"/>
      </w:r>
    </w:p>
    <w:p>
      <w:pPr>
        <w:pStyle w:val="Heading2"/>
        <w:spacing w:before="280" w:after="160"/>
      </w:pPr>
      <w:r>
        <w:rPr>
          <w:rFonts w:ascii="Arial" w:cs="Arial" w:eastAsia="Arial" w:hAnsi="Arial"/>
          <w:b/>
          <w:bCs/>
          <w:color w:val="2E6B9E"/>
          <w:sz w:val="28"/>
          <w:szCs w:val="28"/>
        </w:rPr>
        <w:t xml:space="preserve">3.3 Operational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2"/>
        <w:gridCol w:w="1526"/>
        <w:gridCol w:w="2035"/>
        <w:gridCol w:w="2238"/>
        <w:gridCol w:w="2035"/>
        <w:gridCol w:w="814"/>
      </w:tblGrid>
      <w:tr>
        <w:trPr>
          <w:tblHeader/>
        </w:trPr>
        <w:tc>
          <w:tcPr>
            <w:tcW w:type="dxa" w:w="712"/>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03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23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Testing Procedure</w:t>
            </w:r>
          </w:p>
        </w:tc>
        <w:tc>
          <w:tcPr>
            <w:tcW w:type="dxa" w:w="203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81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71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OPS-001</w:t>
            </w:r>
          </w:p>
        </w:tc>
        <w:tc>
          <w:tcPr>
            <w:tcW w:type="dxa" w:w="152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Cost Circuit Breaker</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4-level: warn (80%) → throttle (90%) → pause (95%) → halt (100%)</w:t>
            </w:r>
          </w:p>
        </w:tc>
        <w:tc>
          <w:tcPr>
            <w:tcW w:type="dxa" w:w="22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Simulate cost spike; verify circuit breaker triggers at each level</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Cost event logs, circuit breaker state changes</w:t>
            </w:r>
          </w:p>
        </w:tc>
        <w:tc>
          <w:tcPr>
            <w:tcW w:type="dxa" w:w="8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71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OPS-002</w:t>
            </w:r>
          </w:p>
        </w:tc>
        <w:tc>
          <w:tcPr>
            <w:tcW w:type="dxa" w:w="15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203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Per-persona RPM/RPH limits</w:t>
            </w:r>
          </w:p>
        </w:tc>
        <w:tc>
          <w:tcPr>
            <w:tcW w:type="dxa" w:w="22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Exceed rate limit; verify request rejection</w:t>
            </w:r>
          </w:p>
        </w:tc>
        <w:tc>
          <w:tcPr>
            <w:tcW w:type="dxa" w:w="203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Rate limit event logs</w:t>
            </w:r>
          </w:p>
        </w:tc>
        <w:tc>
          <w:tcPr>
            <w:tcW w:type="dxa" w:w="81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71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OPS-003</w:t>
            </w:r>
          </w:p>
        </w:tc>
        <w:tc>
          <w:tcPr>
            <w:tcW w:type="dxa" w:w="152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Burst Control</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Max LLM calls per workflow + duplicate detection</w:t>
            </w:r>
          </w:p>
        </w:tc>
        <w:tc>
          <w:tcPr>
            <w:tcW w:type="dxa" w:w="22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Trigger runaway loop; verify burst controller stops it</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Burst control logs, loop detection events</w:t>
            </w:r>
          </w:p>
        </w:tc>
        <w:tc>
          <w:tcPr>
            <w:tcW w:type="dxa" w:w="8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71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OPS-004</w:t>
            </w:r>
          </w:p>
        </w:tc>
        <w:tc>
          <w:tcPr>
            <w:tcW w:type="dxa" w:w="15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Retention</w:t>
            </w:r>
          </w:p>
        </w:tc>
        <w:tc>
          <w:tcPr>
            <w:tcW w:type="dxa" w:w="203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Policy-driven destruction with verification</w:t>
            </w:r>
          </w:p>
        </w:tc>
        <w:tc>
          <w:tcPr>
            <w:tcW w:type="dxa" w:w="22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Verify expired data is destroyed; verify retention periods match policy</w:t>
            </w:r>
          </w:p>
        </w:tc>
        <w:tc>
          <w:tcPr>
            <w:tcW w:type="dxa" w:w="203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Destruction records, retention compliance report</w:t>
            </w:r>
          </w:p>
        </w:tc>
        <w:tc>
          <w:tcPr>
            <w:tcW w:type="dxa" w:w="81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71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OPS-005</w:t>
            </w:r>
          </w:p>
        </w:tc>
        <w:tc>
          <w:tcPr>
            <w:tcW w:type="dxa" w:w="152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Backup &amp; Recovery</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Qdrant snapshots, Parquet export, git-versioned spec</w:t>
            </w:r>
          </w:p>
        </w:tc>
        <w:tc>
          <w:tcPr>
            <w:tcW w:type="dxa" w:w="22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Restore from backup; verify data integrity and RTO</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Backup logs, restore test results, RTO measurement</w:t>
            </w:r>
          </w:p>
        </w:tc>
        <w:tc>
          <w:tcPr>
            <w:tcW w:type="dxa" w:w="8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Semi-annual</w:t>
            </w:r>
          </w:p>
        </w:tc>
      </w:tr>
      <w:tr>
        <w:tc>
          <w:tcPr>
            <w:tcW w:type="dxa" w:w="71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OPS-006</w:t>
            </w:r>
          </w:p>
        </w:tc>
        <w:tc>
          <w:tcPr>
            <w:tcW w:type="dxa" w:w="15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Health Monitoring</w:t>
            </w:r>
          </w:p>
        </w:tc>
        <w:tc>
          <w:tcPr>
            <w:tcW w:type="dxa" w:w="203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System health aggregator with component checks</w:t>
            </w:r>
          </w:p>
        </w:tc>
        <w:tc>
          <w:tcPr>
            <w:tcW w:type="dxa" w:w="22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Verify all components report health; simulate component failure</w:t>
            </w:r>
          </w:p>
        </w:tc>
        <w:tc>
          <w:tcPr>
            <w:tcW w:type="dxa" w:w="203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Health check logs, alert records</w:t>
            </w:r>
          </w:p>
        </w:tc>
        <w:tc>
          <w:tcPr>
            <w:tcW w:type="dxa" w:w="81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Continuous</w:t>
            </w:r>
          </w:p>
        </w:tc>
      </w:tr>
      <w:tr>
        <w:tc>
          <w:tcPr>
            <w:tcW w:type="dxa" w:w="71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OPS-007</w:t>
            </w:r>
          </w:p>
        </w:tc>
        <w:tc>
          <w:tcPr>
            <w:tcW w:type="dxa" w:w="152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Vendor Availability</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LLM provider fallback chain in gateway</w:t>
            </w:r>
          </w:p>
        </w:tc>
        <w:tc>
          <w:tcPr>
            <w:tcW w:type="dxa" w:w="22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Simulate primary provider failure; verify fallback activates</w:t>
            </w:r>
          </w:p>
        </w:tc>
        <w:tc>
          <w:tcPr>
            <w:tcW w:type="dxa" w:w="203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Routing logs, fallback activation records</w:t>
            </w:r>
          </w:p>
        </w:tc>
        <w:tc>
          <w:tcPr>
            <w:tcW w:type="dxa" w:w="8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Quarterly</w:t>
            </w:r>
          </w:p>
        </w:tc>
      </w:tr>
    </w:tbl>
    <w:p>
      <w:r>
        <w:br w:type="page"/>
      </w:r>
    </w:p>
    <w:p>
      <w:pPr>
        <w:pStyle w:val="Heading1"/>
        <w:spacing w:before="360" w:after="200"/>
      </w:pPr>
      <w:r>
        <w:rPr>
          <w:rFonts w:ascii="Arial" w:cs="Arial" w:eastAsia="Arial" w:hAnsi="Arial"/>
          <w:b/>
          <w:bCs/>
          <w:color w:val="1B3A5C"/>
          <w:sz w:val="36"/>
          <w:szCs w:val="36"/>
        </w:rPr>
        <w:t xml:space="preserve">4. Data Flow Documentation</w:t>
      </w:r>
    </w:p>
    <w:p>
      <w:pPr>
        <w:spacing w:after="120"/>
      </w:pPr>
      <w:r>
        <w:rPr>
          <w:rFonts w:ascii="Arial" w:cs="Arial" w:eastAsia="Arial" w:hAnsi="Arial"/>
          <w:sz w:val="22"/>
          <w:szCs w:val="22"/>
        </w:rPr>
        <w:t xml:space="preserve">This section documents the complete data flow through the STC system, identifying processing activities, data stores, external transfers, and control points. This serves as the Record of Processing Activities required under GDPR Article 30.</w:t>
      </w:r>
    </w:p>
    <w:p>
      <w:pPr>
        <w:spacing w:after="80"/>
      </w:pPr>
    </w:p>
    <w:p>
      <w:pPr>
        <w:pStyle w:val="Heading2"/>
        <w:spacing w:before="280" w:after="160"/>
      </w:pPr>
      <w:r>
        <w:rPr>
          <w:rFonts w:ascii="Arial" w:cs="Arial" w:eastAsia="Arial" w:hAnsi="Arial"/>
          <w:b/>
          <w:bCs/>
          <w:color w:val="2E6B9E"/>
          <w:sz w:val="28"/>
          <w:szCs w:val="28"/>
        </w:rPr>
        <w:t xml:space="preserve">4.1 Request 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
        <w:gridCol w:w="1489"/>
        <w:gridCol w:w="2127"/>
        <w:gridCol w:w="1915"/>
        <w:gridCol w:w="1489"/>
        <w:gridCol w:w="1915"/>
      </w:tblGrid>
      <w:tr>
        <w:trPr>
          <w:tblHeader/>
        </w:trPr>
        <w:tc>
          <w:tcPr>
            <w:tcW w:type="dxa" w:w="42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8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27"/>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Processed</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Store</w:t>
            </w:r>
          </w:p>
        </w:tc>
        <w:tc>
          <w:tcPr>
            <w:tcW w:type="dxa" w:w="148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External Transfer</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42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1</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User submits query</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Query text (may contain PII)</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Input validation</w:t>
            </w:r>
          </w:p>
        </w:tc>
      </w:tr>
      <w:tr>
        <w:tc>
          <w:tcPr>
            <w:tcW w:type="dxa" w:w="42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Runtime Firewall</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Query text</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Firewall event log</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SEC-001: PromptGuard scan</w:t>
            </w:r>
          </w:p>
        </w:tc>
      </w:tr>
      <w:tr>
        <w:tc>
          <w:tcPr>
            <w:tcW w:type="dxa" w:w="42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3</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Auth verification</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API key / JWT token</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Auth event log</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IdP (if JWT)</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SEC-004: RBAC check</w:t>
            </w:r>
          </w:p>
        </w:tc>
      </w:tr>
      <w:tr>
        <w:tc>
          <w:tcPr>
            <w:tcW w:type="dxa" w:w="42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detection &amp; masking</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Query text → masked query</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Surrogate token map (session)</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SEC-002: Presidio scan</w:t>
            </w:r>
          </w:p>
        </w:tc>
      </w:tr>
      <w:tr>
        <w:tc>
          <w:tcPr>
            <w:tcW w:type="dxa" w:w="42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5</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Data classification</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Masked query + metadata</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Classification log</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SEC-003: Tier assignment</w:t>
            </w:r>
          </w:p>
        </w:tc>
      </w:tr>
      <w:tr>
        <w:tc>
          <w:tcPr>
            <w:tcW w:type="dxa" w:w="42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6</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Document retrieval</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Masked query → embedding</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Vector store (Qdrant)</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Embedding model (local)</w:t>
            </w:r>
          </w:p>
        </w:tc>
      </w:tr>
      <w:tr>
        <w:tc>
          <w:tcPr>
            <w:tcW w:type="dxa" w:w="42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7</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LLM generation</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Masked query + retrieved context</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 (streaming)</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LLM provider (per tier)</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SEC-003, SEC-007: DLP</w:t>
            </w:r>
          </w:p>
        </w:tc>
      </w:tr>
      <w:tr>
        <w:tc>
          <w:tcPr>
            <w:tcW w:type="dxa" w:w="42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8</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Critic validation</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Generated response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Critic verdict log</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GOV-001 through GOV-004</w:t>
            </w:r>
          </w:p>
        </w:tc>
      </w:tr>
      <w:tr>
        <w:tc>
          <w:tcPr>
            <w:tcW w:type="dxa" w:w="42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9</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PII restoration</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Response + surrogate map</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 (session)</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SEC-002: Reverse mapping</w:t>
            </w:r>
          </w:p>
        </w:tc>
      </w:tr>
      <w:tr>
        <w:tc>
          <w:tcPr>
            <w:tcW w:type="dxa" w:w="42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10</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Response delivery</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Final response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trail (JSONL)</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GOV-006: Audit logging</w:t>
            </w:r>
          </w:p>
        </w:tc>
      </w:tr>
    </w:tbl>
    <w:p>
      <w:pPr>
        <w:spacing w:after="80"/>
      </w:pPr>
    </w:p>
    <w:p>
      <w:pPr>
        <w:spacing w:after="120"/>
      </w:pPr>
      <w:r>
        <w:rPr>
          <w:rFonts w:ascii="Arial" w:cs="Arial" w:eastAsia="Arial" w:hAnsi="Arial"/>
          <w:sz w:val="22"/>
          <w:szCs w:val="22"/>
        </w:rPr>
        <w:t xml:space="preserve">Note: At step 7, the data tier classification determines which LLM provider receives the request. Restricted-tier data is NEVER sent to external providers. The gateway enforces this at the infrastructure level — it is not a software toggle that can be overridden.</w:t>
      </w:r>
    </w:p>
    <w:p>
      <w:r>
        <w:br w:type="page"/>
      </w:r>
    </w:p>
    <w:p>
      <w:pPr>
        <w:pStyle w:val="Heading2"/>
        <w:spacing w:before="280" w:after="160"/>
      </w:pPr>
      <w:r>
        <w:rPr>
          <w:rFonts w:ascii="Arial" w:cs="Arial" w:eastAsia="Arial" w:hAnsi="Arial"/>
          <w:b/>
          <w:bCs/>
          <w:color w:val="2E6B9E"/>
          <w:sz w:val="28"/>
          <w:szCs w:val="28"/>
        </w:rPr>
        <w:t xml:space="preserve">4.2 Record of Processing Activities (GDPR Art.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9"/>
        <w:gridCol w:w="1353"/>
        <w:gridCol w:w="1353"/>
        <w:gridCol w:w="1804"/>
        <w:gridCol w:w="1353"/>
        <w:gridCol w:w="1015"/>
        <w:gridCol w:w="903"/>
      </w:tblGrid>
      <w:tr>
        <w:trPr>
          <w:tblHeader/>
        </w:trPr>
        <w:tc>
          <w:tcPr>
            <w:tcW w:type="dxa" w:w="157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Processing Activity</w:t>
            </w:r>
          </w:p>
        </w:tc>
        <w:tc>
          <w:tcPr>
            <w:tcW w:type="dxa" w:w="135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5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Lawful Basis</w:t>
            </w:r>
          </w:p>
        </w:tc>
        <w:tc>
          <w:tcPr>
            <w:tcW w:type="dxa" w:w="180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Categories</w:t>
            </w:r>
          </w:p>
        </w:tc>
        <w:tc>
          <w:tcPr>
            <w:tcW w:type="dxa" w:w="135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10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90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Transfer</w:t>
            </w:r>
          </w:p>
        </w:tc>
      </w:tr>
      <w:tr>
        <w:tc>
          <w:tcPr>
            <w:tcW w:type="dxa" w:w="157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Query processing</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Respond to user queries</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Legitimate interest / contract</w:t>
            </w:r>
          </w:p>
        </w:tc>
        <w:tc>
          <w:tcPr>
            <w:tcW w:type="dxa" w:w="18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Query text, PII (masked)</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LLM provider (masked only)</w:t>
            </w:r>
          </w:p>
        </w:tc>
        <w:tc>
          <w:tcPr>
            <w:tcW w:type="dxa" w:w="10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Session only</w:t>
            </w:r>
          </w:p>
        </w:tc>
        <w:tc>
          <w:tcPr>
            <w:tcW w:type="dxa" w:w="90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Per data tier</w:t>
            </w:r>
          </w:p>
        </w:tc>
      </w:tr>
      <w:tr>
        <w:tc>
          <w:tcPr>
            <w:tcW w:type="dxa" w:w="157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Document retrieval</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Contextual RAG</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Legitimate interest</w:t>
            </w:r>
          </w:p>
        </w:tc>
        <w:tc>
          <w:tcPr>
            <w:tcW w:type="dxa" w:w="18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Document embeddings</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 (local)</w:t>
            </w:r>
          </w:p>
        </w:tc>
        <w:tc>
          <w:tcPr>
            <w:tcW w:type="dxa" w:w="10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 collection TTL</w:t>
            </w:r>
          </w:p>
        </w:tc>
        <w:tc>
          <w:tcPr>
            <w:tcW w:type="dxa" w:w="90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57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Audit logging</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Compliance, accountability</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Legal obligation</w:t>
            </w:r>
          </w:p>
        </w:tc>
        <w:tc>
          <w:tcPr>
            <w:tcW w:type="dxa" w:w="18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Events, metadata (no raw PII)</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Audit store (local)</w:t>
            </w:r>
          </w:p>
        </w:tc>
        <w:tc>
          <w:tcPr>
            <w:tcW w:type="dxa" w:w="10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365 days</w:t>
            </w:r>
          </w:p>
        </w:tc>
        <w:tc>
          <w:tcPr>
            <w:tcW w:type="dxa" w:w="90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57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Performance tracing</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System monitoring</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Legitimate interest</w:t>
            </w:r>
          </w:p>
        </w:tc>
        <w:tc>
          <w:tcPr>
            <w:tcW w:type="dxa" w:w="18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Trace data, latencies</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Phoenix (local)</w:t>
            </w:r>
          </w:p>
        </w:tc>
        <w:tc>
          <w:tcPr>
            <w:tcW w:type="dxa" w:w="10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90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57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Model optimization</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Improve accuracy/cost</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Legitimate interest</w:t>
            </w:r>
          </w:p>
        </w:tc>
        <w:tc>
          <w:tcPr>
            <w:tcW w:type="dxa" w:w="18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Performance metrics</w:t>
            </w:r>
          </w:p>
        </w:tc>
        <w:tc>
          <w:tcPr>
            <w:tcW w:type="dxa" w:w="13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 (local)</w:t>
            </w:r>
          </w:p>
        </w:tc>
        <w:tc>
          <w:tcPr>
            <w:tcW w:type="dxa" w:w="10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365 days</w:t>
            </w:r>
          </w:p>
        </w:tc>
        <w:tc>
          <w:tcPr>
            <w:tcW w:type="dxa" w:w="90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57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surrogate mapping</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Privacy protection</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Legal obligation</w:t>
            </w:r>
          </w:p>
        </w:tc>
        <w:tc>
          <w:tcPr>
            <w:tcW w:type="dxa" w:w="18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 surrogate map</w:t>
            </w:r>
          </w:p>
        </w:tc>
        <w:tc>
          <w:tcPr>
            <w:tcW w:type="dxa" w:w="13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 (encrypted, local)</w:t>
            </w:r>
          </w:p>
        </w:tc>
        <w:tc>
          <w:tcPr>
            <w:tcW w:type="dxa" w:w="10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Session only</w:t>
            </w:r>
          </w:p>
        </w:tc>
        <w:tc>
          <w:tcPr>
            <w:tcW w:type="dxa" w:w="90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None</w:t>
            </w:r>
          </w:p>
        </w:tc>
      </w:tr>
    </w:tbl>
    <w:p>
      <w:r>
        <w:br w:type="page"/>
      </w:r>
    </w:p>
    <w:p>
      <w:pPr>
        <w:pStyle w:val="Heading1"/>
        <w:spacing w:before="360" w:after="200"/>
      </w:pPr>
      <w:r>
        <w:rPr>
          <w:rFonts w:ascii="Arial" w:cs="Arial" w:eastAsia="Arial" w:hAnsi="Arial"/>
          <w:b/>
          <w:bCs/>
          <w:color w:val="1B3A5C"/>
          <w:sz w:val="36"/>
          <w:szCs w:val="36"/>
        </w:rPr>
        <w:t xml:space="preserve">5. Testing &amp; Validation Evidence Framework</w:t>
      </w:r>
    </w:p>
    <w:p>
      <w:pPr>
        <w:spacing w:after="120"/>
      </w:pPr>
      <w:r>
        <w:rPr>
          <w:rFonts w:ascii="Arial" w:cs="Arial" w:eastAsia="Arial" w:hAnsi="Arial"/>
          <w:sz w:val="22"/>
          <w:szCs w:val="22"/>
        </w:rPr>
        <w:t xml:space="preserve">This section defines the testing cadence, evidence requirements, and validation procedures for all STC controls. Evidence is produced by the automated Control Testing Framework (operational/control_testing.py) and stored in the audit trail.</w:t>
      </w:r>
    </w:p>
    <w:p>
      <w:pPr>
        <w:spacing w:after="80"/>
      </w:pPr>
    </w:p>
    <w:p>
      <w:pPr>
        <w:pStyle w:val="Heading2"/>
        <w:spacing w:before="280" w:after="160"/>
      </w:pPr>
      <w:r>
        <w:rPr>
          <w:rFonts w:ascii="Arial" w:cs="Arial" w:eastAsia="Arial" w:hAnsi="Arial"/>
          <w:b/>
          <w:bCs/>
          <w:color w:val="2E6B9E"/>
          <w:sz w:val="28"/>
          <w:szCs w:val="28"/>
        </w:rPr>
        <w:t xml:space="preserve">5.1 Testing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4"/>
        <w:gridCol w:w="2340"/>
        <w:gridCol w:w="1702"/>
        <w:gridCol w:w="2340"/>
        <w:gridCol w:w="1914"/>
      </w:tblGrid>
      <w:tr>
        <w:trPr>
          <w:tblHeader/>
        </w:trPr>
        <w:tc>
          <w:tcPr>
            <w:tcW w:type="dxa" w:w="106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Controls Tested</w:t>
            </w:r>
          </w:p>
        </w:tc>
        <w:tc>
          <w:tcPr>
            <w:tcW w:type="dxa" w:w="1702"/>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23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Produced</w:t>
            </w:r>
          </w:p>
        </w:tc>
        <w:tc>
          <w:tcPr>
            <w:tcW w:type="dxa" w:w="191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Review By</w:t>
            </w:r>
          </w:p>
        </w:tc>
      </w:tr>
      <w:tr>
        <w:tc>
          <w:tcPr>
            <w:tcW w:type="dxa" w:w="10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Continuous</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OPS-006 (Health monitoring)</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Automated</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Health check logs</w:t>
            </w:r>
          </w:p>
        </w:tc>
        <w:tc>
          <w:tcPr>
            <w:tcW w:type="dxa" w:w="19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On-call operator</w:t>
            </w:r>
          </w:p>
        </w:tc>
      </w:tr>
      <w:tr>
        <w:tc>
          <w:tcPr>
            <w:tcW w:type="dxa" w:w="10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Hourly</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SEC-008 (Model integrity)</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Automated</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Integrity check results</w:t>
            </w:r>
          </w:p>
        </w:tc>
        <w:tc>
          <w:tcPr>
            <w:tcW w:type="dxa" w:w="191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On-call operator</w:t>
            </w:r>
          </w:p>
        </w:tc>
      </w:tr>
      <w:tr>
        <w:tc>
          <w:tcPr>
            <w:tcW w:type="dxa" w:w="10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Daily</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OPS-004 (Data retention)</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Automated</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Destruction records</w:t>
            </w:r>
          </w:p>
        </w:tc>
        <w:tc>
          <w:tcPr>
            <w:tcW w:type="dxa" w:w="19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Compliance team</w:t>
            </w:r>
          </w:p>
        </w:tc>
      </w:tr>
      <w:tr>
        <w:tc>
          <w:tcPr>
            <w:tcW w:type="dxa" w:w="10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 SEC controls + GOV-001 through GOV-003</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Automated + operator review</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Test results dashboard</w:t>
            </w:r>
          </w:p>
        </w:tc>
        <w:tc>
          <w:tcPr>
            <w:tcW w:type="dxa" w:w="191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Security team</w:t>
            </w:r>
          </w:p>
        </w:tc>
      </w:tr>
      <w:tr>
        <w:tc>
          <w:tcPr>
            <w:tcW w:type="dxa" w:w="10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Monthly</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Full adversarial test suite + control effectiveness report</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team</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Adversarial test report, control report</w:t>
            </w:r>
          </w:p>
        </w:tc>
        <w:tc>
          <w:tcPr>
            <w:tcW w:type="dxa" w:w="19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CISO</w:t>
            </w:r>
          </w:p>
        </w:tc>
      </w:tr>
      <w:tr>
        <w:tc>
          <w:tcPr>
            <w:tcW w:type="dxa" w:w="106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 controls + access review + vendor assessment</w:t>
            </w:r>
          </w:p>
        </w:tc>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Internal audit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workpaper package</w:t>
            </w:r>
          </w:p>
        </w:tc>
        <w:tc>
          <w:tcPr>
            <w:tcW w:type="dxa" w:w="191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committee</w:t>
            </w:r>
          </w:p>
        </w:tc>
      </w:tr>
      <w:tr>
        <w:tc>
          <w:tcPr>
            <w:tcW w:type="dxa" w:w="106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Annual</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Full framework review + independent assessment</w:t>
            </w:r>
          </w:p>
        </w:tc>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External auditor</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Audit opinion</w:t>
            </w:r>
          </w:p>
        </w:tc>
        <w:tc>
          <w:tcPr>
            <w:tcW w:type="dxa" w:w="191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Board / management committee</w:t>
            </w:r>
          </w:p>
        </w:tc>
      </w:tr>
    </w:tbl>
    <w:p>
      <w:pPr>
        <w:spacing w:after="80"/>
      </w:pPr>
    </w:p>
    <w:p>
      <w:pPr>
        <w:pStyle w:val="Heading2"/>
        <w:spacing w:before="280" w:after="160"/>
      </w:pPr>
      <w:r>
        <w:rPr>
          <w:rFonts w:ascii="Arial" w:cs="Arial" w:eastAsia="Arial" w:hAnsi="Arial"/>
          <w:b/>
          <w:bCs/>
          <w:color w:val="2E6B9E"/>
          <w:sz w:val="28"/>
          <w:szCs w:val="28"/>
        </w:rPr>
        <w:t xml:space="preserve">5.2 UAT &amp; Evaluation Suite</w:t>
      </w:r>
    </w:p>
    <w:p>
      <w:pPr>
        <w:spacing w:after="100"/>
      </w:pPr>
      <w:r>
        <w:rPr>
          <w:rFonts w:ascii="Arial" w:cs="Arial" w:eastAsia="Arial" w:hAnsi="Arial"/>
          <w:b/>
          <w:bCs/>
          <w:sz w:val="22"/>
          <w:szCs w:val="22"/>
        </w:rPr>
        <w:t xml:space="preserve">5.2.1 Coverage: </w:t>
      </w:r>
      <w:r>
        <w:rPr>
          <w:rFonts w:ascii="Arial" w:cs="Arial" w:eastAsia="Arial" w:hAnsi="Arial"/>
          <w:sz w:val="22"/>
          <w:szCs w:val="22"/>
        </w:rPr>
        <w:t xml:space="preserve">The evaluation suite contains test questions across 6 categories: factual accuracy (with verifiable answers), numerical precision (with exact expected values), scope boundary (out-of-scope queries that should be rejected), hallucination detection (queries designed to elicit hallucinated data), adversarial (prompt injection, jailbreak, PII exfiltration), and operational (cost, latency, throughput).</w:t>
      </w:r>
    </w:p>
    <w:p>
      <w:pPr>
        <w:spacing w:after="100"/>
      </w:pPr>
      <w:r>
        <w:rPr>
          <w:rFonts w:ascii="Arial" w:cs="Arial" w:eastAsia="Arial" w:hAnsi="Arial"/>
          <w:b/>
          <w:bCs/>
          <w:sz w:val="22"/>
          <w:szCs w:val="22"/>
        </w:rPr>
        <w:t xml:space="preserve">5.2.2 SME Review: </w:t>
      </w:r>
      <w:r>
        <w:rPr>
          <w:rFonts w:ascii="Arial" w:cs="Arial" w:eastAsia="Arial" w:hAnsi="Arial"/>
          <w:sz w:val="22"/>
          <w:szCs w:val="22"/>
        </w:rPr>
        <w:t xml:space="preserve">Test questions are reviewed and approved by subject matter experts (financial analysts, compliance officers) quarterly. Each question has: expected correct answer, expected Critic verdict, acceptable response time, and data tier classification.</w:t>
      </w:r>
    </w:p>
    <w:p>
      <w:pPr>
        <w:spacing w:after="100"/>
      </w:pPr>
      <w:r>
        <w:rPr>
          <w:rFonts w:ascii="Arial" w:cs="Arial" w:eastAsia="Arial" w:hAnsi="Arial"/>
          <w:b/>
          <w:bCs/>
          <w:sz w:val="22"/>
          <w:szCs w:val="22"/>
        </w:rPr>
        <w:t xml:space="preserve">5.2.3 Sign-off: </w:t>
      </w:r>
      <w:r>
        <w:rPr>
          <w:rFonts w:ascii="Arial" w:cs="Arial" w:eastAsia="Arial" w:hAnsi="Arial"/>
          <w:sz w:val="22"/>
          <w:szCs w:val="22"/>
        </w:rPr>
        <w:t xml:space="preserve">UAT results require sign-off from: Product Owner (functional correctness), CISO (security controls), Compliance Officer (regulatory controls), Global CIO (overall system approval). Sign-off records are stored in the audit trail with digital signatures.</w:t>
      </w:r>
    </w:p>
    <w:p>
      <w:r>
        <w:br w:type="page"/>
      </w:r>
    </w:p>
    <w:p>
      <w:pPr>
        <w:pStyle w:val="Heading1"/>
        <w:spacing w:before="360" w:after="200"/>
      </w:pPr>
      <w:r>
        <w:rPr>
          <w:rFonts w:ascii="Arial" w:cs="Arial" w:eastAsia="Arial" w:hAnsi="Arial"/>
          <w:b/>
          <w:bCs/>
          <w:color w:val="1B3A5C"/>
          <w:sz w:val="36"/>
          <w:szCs w:val="36"/>
        </w:rPr>
        <w:t xml:space="preserve">6. Monitoring &amp; Alerting</w:t>
      </w:r>
    </w:p>
    <w:p>
      <w:pPr>
        <w:spacing w:after="80"/>
      </w:pPr>
    </w:p>
    <w:p>
      <w:pPr>
        <w:pStyle w:val="Heading2"/>
        <w:spacing w:before="280" w:after="160"/>
      </w:pPr>
      <w:r>
        <w:rPr>
          <w:rFonts w:ascii="Arial" w:cs="Arial" w:eastAsia="Arial" w:hAnsi="Arial"/>
          <w:b/>
          <w:bCs/>
          <w:color w:val="2E6B9E"/>
          <w:sz w:val="28"/>
          <w:szCs w:val="28"/>
        </w:rPr>
        <w:t xml:space="preserve">6.1 Dashboard Requirements</w:t>
      </w:r>
    </w:p>
    <w:p>
      <w:pPr>
        <w:spacing w:after="120"/>
      </w:pPr>
      <w:r>
        <w:rPr>
          <w:rFonts w:ascii="Arial" w:cs="Arial" w:eastAsia="Arial" w:hAnsi="Arial"/>
          <w:sz w:val="22"/>
          <w:szCs w:val="22"/>
        </w:rPr>
        <w:t xml:space="preserve">The STC monitoring dashboard must display, at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1170"/>
        <w:gridCol w:w="3042"/>
      </w:tblGrid>
      <w:tr>
        <w:trPr>
          <w:tblHeader/>
        </w:trPr>
        <w:tc>
          <w:tcPr>
            <w:tcW w:type="dxa" w:w="140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74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Metrics Displayed</w:t>
            </w:r>
          </w:p>
        </w:tc>
        <w:tc>
          <w:tcPr>
            <w:tcW w:type="dxa" w:w="117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Refresh Rate</w:t>
            </w:r>
          </w:p>
        </w:tc>
        <w:tc>
          <w:tcPr>
            <w:tcW w:type="dxa" w:w="3042"/>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14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System Health</w:t>
            </w:r>
          </w:p>
        </w:tc>
        <w:tc>
          <w:tcPr>
            <w:tcW w:type="dxa" w:w="374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Component status (Stalwart, Trainer, Critic, Sentinel, stores)</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30 seconds</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Any component unhealthy</w:t>
            </w:r>
          </w:p>
        </w:tc>
      </w:tr>
      <w:tr>
        <w:tc>
          <w:tcPr>
            <w:tcW w:type="dxa" w:w="14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Security Events</w:t>
            </w:r>
          </w:p>
        </w:tc>
        <w:tc>
          <w:tcPr>
            <w:tcW w:type="dxa" w:w="374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Firewall blocks, auth denials, DLP triggers, integrity alerts</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Any SEV-1 or SEV-2 event</w:t>
            </w:r>
          </w:p>
        </w:tc>
      </w:tr>
      <w:tr>
        <w:tc>
          <w:tcPr>
            <w:tcW w:type="dxa" w:w="14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Governance</w:t>
            </w:r>
          </w:p>
        </w:tc>
        <w:tc>
          <w:tcPr>
            <w:tcW w:type="dxa" w:w="374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 verdicts (pass/fail/escalate), hallucination rate, scope violations</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1 minute</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Hallucination rate &gt; 5%</w:t>
            </w:r>
          </w:p>
        </w:tc>
      </w:tr>
      <w:tr>
        <w:tc>
          <w:tcPr>
            <w:tcW w:type="dxa" w:w="14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Cost</w:t>
            </w:r>
          </w:p>
        </w:tc>
        <w:tc>
          <w:tcPr>
            <w:tcW w:type="dxa" w:w="374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Daily spend by persona, budget utilization, anomaly detection</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 minutes</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Circuit breaker activation</w:t>
            </w:r>
          </w:p>
        </w:tc>
      </w:tr>
      <w:tr>
        <w:tc>
          <w:tcPr>
            <w:tcW w:type="dxa" w:w="14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74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Latency (p50/p95/p99), throughput, error rate</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1 minute</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p99 &gt; 10s or error rate &gt; 2%</w:t>
            </w:r>
          </w:p>
        </w:tc>
      </w:tr>
      <w:tr>
        <w:tc>
          <w:tcPr>
            <w:tcW w:type="dxa" w:w="14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374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Retention compliance, evidence freshness, exception count</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Hourly</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Overdue evidence or open exceptions</w:t>
            </w:r>
          </w:p>
        </w:tc>
      </w:tr>
    </w:tbl>
    <w:p>
      <w:pPr>
        <w:spacing w:after="80"/>
      </w:pPr>
    </w:p>
    <w:p>
      <w:pPr>
        <w:pStyle w:val="Heading2"/>
        <w:spacing w:before="280" w:after="160"/>
      </w:pPr>
      <w:r>
        <w:rPr>
          <w:rFonts w:ascii="Arial" w:cs="Arial" w:eastAsia="Arial" w:hAnsi="Arial"/>
          <w:b/>
          <w:bCs/>
          <w:color w:val="2E6B9E"/>
          <w:sz w:val="28"/>
          <w:szCs w:val="28"/>
        </w:rPr>
        <w:t xml:space="preserve">6.2 Alert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5"/>
        <w:gridCol w:w="1276"/>
        <w:gridCol w:w="2553"/>
        <w:gridCol w:w="3936"/>
      </w:tblGrid>
      <w:tr>
        <w:trPr>
          <w:tblHeader/>
        </w:trPr>
        <w:tc>
          <w:tcPr>
            <w:tcW w:type="dxa" w:w="159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Level</w:t>
            </w:r>
          </w:p>
        </w:tc>
        <w:tc>
          <w:tcPr>
            <w:tcW w:type="dxa" w:w="127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55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393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Critical (SEV-1)</w:t>
            </w:r>
          </w:p>
        </w:tc>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&lt; 15 minutes</w:t>
            </w:r>
          </w:p>
        </w:tc>
        <w:tc>
          <w:tcPr>
            <w:tcW w:type="dxa" w:w="25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PagerDuty + Slack + Email</w:t>
            </w:r>
          </w:p>
        </w:tc>
        <w:tc>
          <w:tcPr>
            <w:tcW w:type="dxa" w:w="3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On-call → CISO → Global CIO</w:t>
            </w:r>
          </w:p>
        </w:tc>
      </w:tr>
      <w:tr>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(SEV-2)</w:t>
            </w:r>
          </w:p>
        </w:tc>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&lt; 1 hour</w:t>
            </w:r>
          </w:p>
        </w:tc>
        <w:tc>
          <w:tcPr>
            <w:tcW w:type="dxa" w:w="25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Slack + Email</w:t>
            </w:r>
          </w:p>
        </w:tc>
        <w:tc>
          <w:tcPr>
            <w:tcW w:type="dxa" w:w="3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On-call → Security team lead</w:t>
            </w:r>
          </w:p>
        </w:tc>
      </w:tr>
      <w:tr>
        <w:tc>
          <w:tcPr>
            <w:tcW w:type="dxa" w:w="159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Medium (SEV-3)</w:t>
            </w:r>
          </w:p>
        </w:tc>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&lt; 4 hours</w:t>
            </w:r>
          </w:p>
        </w:tc>
        <w:tc>
          <w:tcPr>
            <w:tcW w:type="dxa" w:w="255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Slack</w:t>
            </w:r>
          </w:p>
        </w:tc>
        <w:tc>
          <w:tcPr>
            <w:tcW w:type="dxa" w:w="3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On-call → Engineering lead</w:t>
            </w:r>
          </w:p>
        </w:tc>
      </w:tr>
      <w:tr>
        <w:tc>
          <w:tcPr>
            <w:tcW w:type="dxa" w:w="159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Low (SEV-4)</w:t>
            </w:r>
          </w:p>
        </w:tc>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&lt; 24 hours</w:t>
            </w:r>
          </w:p>
        </w:tc>
        <w:tc>
          <w:tcPr>
            <w:tcW w:type="dxa" w:w="255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Dashboard + daily digest</w:t>
            </w:r>
          </w:p>
        </w:tc>
        <w:tc>
          <w:tcPr>
            <w:tcW w:type="dxa" w:w="3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Engineering team</w:t>
            </w:r>
          </w:p>
        </w:tc>
      </w:tr>
    </w:tbl>
    <w:p>
      <w:pPr>
        <w:spacing w:after="80"/>
      </w:pPr>
    </w:p>
    <w:p>
      <w:pPr>
        <w:spacing w:after="120"/>
      </w:pPr>
      <w:r>
        <w:rPr>
          <w:rFonts w:ascii="Arial" w:cs="Arial" w:eastAsia="Arial" w:hAnsi="Arial"/>
          <w:sz w:val="22"/>
          <w:szCs w:val="22"/>
        </w:rPr>
        <w:t xml:space="preserve">Alert acknowledgment and resolution must be recorded in the audit trail. Unacknowledged critical alerts automatically escalate after 15 minutes. All alert responses are reviewed in weekly security operations meetings.</w:t>
      </w:r>
    </w:p>
    <w:p>
      <w:r>
        <w:br w:type="page"/>
      </w:r>
    </w:p>
    <w:p>
      <w:pPr>
        <w:pStyle w:val="Heading1"/>
        <w:spacing w:before="360" w:after="200"/>
      </w:pPr>
      <w:r>
        <w:rPr>
          <w:rFonts w:ascii="Arial" w:cs="Arial" w:eastAsia="Arial" w:hAnsi="Arial"/>
          <w:b/>
          <w:bCs/>
          <w:color w:val="1B3A5C"/>
          <w:sz w:val="36"/>
          <w:szCs w:val="36"/>
        </w:rPr>
        <w:t xml:space="preserve">7. Exception Management</w:t>
      </w:r>
    </w:p>
    <w:p>
      <w:pPr>
        <w:spacing w:after="120"/>
      </w:pPr>
      <w:r>
        <w:rPr>
          <w:rFonts w:ascii="Arial" w:cs="Arial" w:eastAsia="Arial" w:hAnsi="Arial"/>
          <w:sz w:val="22"/>
          <w:szCs w:val="22"/>
        </w:rPr>
        <w:t xml:space="preserve">This section defines the exception management lifecycle for all STC control failures, policy deviations, and operational anomalies.</w:t>
      </w:r>
    </w:p>
    <w:p>
      <w:pPr>
        <w:spacing w:after="80"/>
      </w:pPr>
    </w:p>
    <w:p>
      <w:pPr>
        <w:pStyle w:val="Heading2"/>
        <w:spacing w:before="280" w:after="160"/>
      </w:pPr>
      <w:r>
        <w:rPr>
          <w:rFonts w:ascii="Arial" w:cs="Arial" w:eastAsia="Arial" w:hAnsi="Arial"/>
          <w:b/>
          <w:bCs/>
          <w:color w:val="2E6B9E"/>
          <w:sz w:val="28"/>
          <w:szCs w:val="28"/>
        </w:rPr>
        <w:t xml:space="preserve">7.1 Exception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65"/>
        <w:gridCol w:w="1489"/>
        <w:gridCol w:w="1915"/>
        <w:gridCol w:w="2021"/>
      </w:tblGrid>
      <w:tr>
        <w:trPr>
          <w:tblHeader/>
        </w:trPr>
        <w:tc>
          <w:tcPr>
            <w:tcW w:type="dxa" w:w="117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76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8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W w:type="dxa" w:w="2021"/>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Detection</w:t>
            </w:r>
          </w:p>
        </w:tc>
        <w:tc>
          <w:tcPr>
            <w:tcW w:type="dxa" w:w="276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Exception identified by automated control, manual review, or audit</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System / Operator</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Automatic</w:t>
            </w:r>
          </w:p>
        </w:tc>
        <w:tc>
          <w:tcPr>
            <w:tcW w:type="dxa" w:w="202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Detection event in audit trail</w:t>
            </w:r>
          </w:p>
        </w:tc>
      </w:tr>
      <w:tr>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Registration</w:t>
            </w:r>
          </w:p>
        </w:tc>
        <w:tc>
          <w:tcPr>
            <w:tcW w:type="dxa" w:w="276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Exception logged in register with unique ID, severity, and category</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Operator</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&lt; 1 hour (SEV-1/2), &lt; 4 hours (SEV-3/4)</w:t>
            </w:r>
          </w:p>
        </w:tc>
        <w:tc>
          <w:tcPr>
            <w:tcW w:type="dxa" w:w="202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Exception register entry</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Assessment</w:t>
            </w:r>
          </w:p>
        </w:tc>
        <w:tc>
          <w:tcPr>
            <w:tcW w:type="dxa" w:w="276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Root cause analysis, impact assessment, risk rating</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 Engineering</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&lt; 24 hours (SEV-1), &lt; 5 days (other)</w:t>
            </w:r>
          </w:p>
        </w:tc>
        <w:tc>
          <w:tcPr>
            <w:tcW w:type="dxa" w:w="202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RCA document</w:t>
            </w:r>
          </w:p>
        </w:tc>
      </w:tr>
      <w:tr>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Remediation Plan</w:t>
            </w:r>
          </w:p>
        </w:tc>
        <w:tc>
          <w:tcPr>
            <w:tcW w:type="dxa" w:w="276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Corrective action plan with timeline and owner</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Engineering lead</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Within assessment period</w:t>
            </w:r>
          </w:p>
        </w:tc>
        <w:tc>
          <w:tcPr>
            <w:tcW w:type="dxa" w:w="202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Remediation plan document</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Approval</w:t>
            </w:r>
          </w:p>
        </w:tc>
        <w:tc>
          <w:tcPr>
            <w:tcW w:type="dxa" w:w="276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Plan reviewed and approved by appropriate authority</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CISO (SEV-1/2), Security lead (SEV-3/4)</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&lt; 24 hours after plan</w:t>
            </w:r>
          </w:p>
        </w:tc>
        <w:tc>
          <w:tcPr>
            <w:tcW w:type="dxa" w:w="202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Approval record</w:t>
            </w:r>
          </w:p>
        </w:tc>
      </w:tr>
      <w:tr>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Implementation</w:t>
            </w:r>
          </w:p>
        </w:tc>
        <w:tc>
          <w:tcPr>
            <w:tcW w:type="dxa" w:w="276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Corrective actions executed</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 plan timeline</w:t>
            </w:r>
          </w:p>
        </w:tc>
        <w:tc>
          <w:tcPr>
            <w:tcW w:type="dxa" w:w="202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Implementation evidence</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276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Verify remediation is effective and control is restored</w:t>
            </w:r>
          </w:p>
        </w:tc>
        <w:tc>
          <w:tcPr>
            <w:tcW w:type="dxa" w:w="1489"/>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 Audit</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&lt; 48 hours after implementation</w:t>
            </w:r>
          </w:p>
        </w:tc>
        <w:tc>
          <w:tcPr>
            <w:tcW w:type="dxa" w:w="202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Verification test results</w:t>
            </w:r>
          </w:p>
        </w:tc>
      </w:tr>
      <w:tr>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Closure</w:t>
            </w:r>
          </w:p>
        </w:tc>
        <w:tc>
          <w:tcPr>
            <w:tcW w:type="dxa" w:w="276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Exception closed with final status and lessons learned</w:t>
            </w:r>
          </w:p>
        </w:tc>
        <w:tc>
          <w:tcPr>
            <w:tcW w:type="dxa" w:w="1489"/>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Exception owner</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After verification</w:t>
            </w:r>
          </w:p>
        </w:tc>
        <w:tc>
          <w:tcPr>
            <w:tcW w:type="dxa" w:w="202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Closure record</w:t>
            </w:r>
          </w:p>
        </w:tc>
      </w:tr>
    </w:tbl>
    <w:p>
      <w:pPr>
        <w:spacing w:after="80"/>
      </w:pPr>
    </w:p>
    <w:p>
      <w:pPr>
        <w:pStyle w:val="Heading2"/>
        <w:spacing w:before="280" w:after="160"/>
      </w:pPr>
      <w:r>
        <w:rPr>
          <w:rFonts w:ascii="Arial" w:cs="Arial" w:eastAsia="Arial" w:hAnsi="Arial"/>
          <w:b/>
          <w:bCs/>
          <w:color w:val="2E6B9E"/>
          <w:sz w:val="28"/>
          <w:szCs w:val="28"/>
        </w:rPr>
        <w:t xml:space="preserve">7.2 Exception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3404"/>
        <w:gridCol w:w="1276"/>
        <w:gridCol w:w="2978"/>
      </w:tblGrid>
      <w:tr>
        <w:trPr>
          <w:tblHeader/>
        </w:trPr>
        <w:tc>
          <w:tcPr>
            <w:tcW w:type="dxa" w:w="1702"/>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0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27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 Severity</w:t>
            </w:r>
          </w:p>
        </w:tc>
        <w:tc>
          <w:tcPr>
            <w:tcW w:type="dxa" w:w="297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Escalation</w:t>
            </w:r>
          </w:p>
        </w:tc>
      </w:tr>
      <w:tr>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Control Failure</w:t>
            </w:r>
          </w:p>
        </w:tc>
        <w:tc>
          <w:tcPr>
            <w:tcW w:type="dxa" w:w="34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Firewall bypass, PII leak, auth bypass, model tampering</w:t>
            </w:r>
          </w:p>
        </w:tc>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SEV-1</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Immediate CISO notification</w:t>
            </w:r>
          </w:p>
        </w:tc>
      </w:tr>
      <w:tr>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Governance Failure</w:t>
            </w:r>
          </w:p>
        </w:tc>
        <w:tc>
          <w:tcPr>
            <w:tcW w:type="dxa" w:w="34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Hallucination in production, scope violation, Critic failure</w:t>
            </w:r>
          </w:p>
        </w:tc>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SEV-2</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AI Governance Committee</w:t>
            </w:r>
          </w:p>
        </w:tc>
      </w:tr>
      <w:tr>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Operational Anomaly</w:t>
            </w:r>
          </w:p>
        </w:tc>
        <w:tc>
          <w:tcPr>
            <w:tcW w:type="dxa" w:w="34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Cost spike, latency degradation, component failure</w:t>
            </w:r>
          </w:p>
        </w:tc>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SEV-3</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Engineering lead</w:t>
            </w:r>
          </w:p>
        </w:tc>
      </w:tr>
      <w:tr>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Policy Deviation</w:t>
            </w:r>
          </w:p>
        </w:tc>
        <w:tc>
          <w:tcPr>
            <w:tcW w:type="dxa" w:w="34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Unapproved model change, access policy exception, retention gap</w:t>
            </w:r>
          </w:p>
        </w:tc>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SEV-3</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Compliance officer</w:t>
            </w:r>
          </w:p>
        </w:tc>
      </w:tr>
      <w:tr>
        <w:tc>
          <w:tcPr>
            <w:tcW w:type="dxa" w:w="170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Vendor Issue</w:t>
            </w:r>
          </w:p>
        </w:tc>
        <w:tc>
          <w:tcPr>
            <w:tcW w:type="dxa" w:w="340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Provider outage, API change, security incident at vendor</w:t>
            </w:r>
          </w:p>
        </w:tc>
        <w:tc>
          <w:tcPr>
            <w:tcW w:type="dxa" w:w="127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SEV-2 to SEV-4</w:t>
            </w:r>
          </w:p>
        </w:tc>
        <w:tc>
          <w:tcPr>
            <w:tcW w:type="dxa" w:w="297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Vendor Risk Committee</w:t>
            </w:r>
          </w:p>
        </w:tc>
      </w:tr>
      <w:tr>
        <w:tc>
          <w:tcPr>
            <w:tcW w:type="dxa" w:w="170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Finding</w:t>
            </w:r>
          </w:p>
        </w:tc>
        <w:tc>
          <w:tcPr>
            <w:tcW w:type="dxa" w:w="340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Gap identified during audit, non-conformity</w:t>
            </w:r>
          </w:p>
        </w:tc>
        <w:tc>
          <w:tcPr>
            <w:tcW w:type="dxa" w:w="127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 finding</w:t>
            </w:r>
          </w:p>
        </w:tc>
        <w:tc>
          <w:tcPr>
            <w:tcW w:type="dxa" w:w="297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committee</w:t>
            </w:r>
          </w:p>
        </w:tc>
      </w:tr>
    </w:tbl>
    <w:p>
      <w:r>
        <w:br w:type="page"/>
      </w:r>
    </w:p>
    <w:p>
      <w:pPr>
        <w:pStyle w:val="Heading1"/>
        <w:spacing w:before="360" w:after="200"/>
      </w:pPr>
      <w:r>
        <w:rPr>
          <w:rFonts w:ascii="Arial" w:cs="Arial" w:eastAsia="Arial" w:hAnsi="Arial"/>
          <w:b/>
          <w:bCs/>
          <w:color w:val="1B3A5C"/>
          <w:sz w:val="36"/>
          <w:szCs w:val="36"/>
        </w:rPr>
        <w:t xml:space="preserve">8. Detailed Regulatory Control Mapping</w:t>
      </w:r>
    </w:p>
    <w:p>
      <w:pPr>
        <w:spacing w:after="120"/>
      </w:pPr>
      <w:r>
        <w:rPr>
          <w:rFonts w:ascii="Arial" w:cs="Arial" w:eastAsia="Arial" w:hAnsi="Arial"/>
          <w:sz w:val="22"/>
          <w:szCs w:val="22"/>
        </w:rPr>
        <w:t xml:space="preserve">This section provides control-by-control mapping to each regulatory framework, with specific evidence requirements for each control.</w:t>
      </w:r>
    </w:p>
    <w:p>
      <w:pPr>
        <w:spacing w:after="80"/>
      </w:pPr>
    </w:p>
    <w:p>
      <w:pPr>
        <w:pStyle w:val="Heading2"/>
        <w:spacing w:before="280" w:after="160"/>
      </w:pPr>
      <w:r>
        <w:rPr>
          <w:rFonts w:ascii="Arial" w:cs="Arial" w:eastAsia="Arial" w:hAnsi="Arial"/>
          <w:b/>
          <w:bCs/>
          <w:color w:val="2E6B9E"/>
          <w:sz w:val="28"/>
          <w:szCs w:val="28"/>
        </w:rPr>
        <w:t xml:space="preserve">8.1 AIUC-1 Detailed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38"/>
        <w:gridCol w:w="1170"/>
        <w:gridCol w:w="2574"/>
        <w:gridCol w:w="3042"/>
      </w:tblGrid>
      <w:tr>
        <w:trPr>
          <w:tblHeader/>
        </w:trPr>
        <w:tc>
          <w:tcPr>
            <w:tcW w:type="dxa" w:w="93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AIUC-1 Req</w:t>
            </w:r>
          </w:p>
        </w:tc>
        <w:tc>
          <w:tcPr>
            <w:tcW w:type="dxa" w:w="163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17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STC Control ID</w:t>
            </w:r>
          </w:p>
        </w:tc>
        <w:tc>
          <w:tcPr>
            <w:tcW w:type="dxa" w:w="257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042"/>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Required</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A001</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Data: Collection consent</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OPS-004</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Retention manager with regulatory-driven policies</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Retention compliance reports</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A002</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Minimization</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SEC-002</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masking + session-only token maps</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scan logs, token map destruction records</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A003</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Data: Access control</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SEC-004</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Casbin RBAC with 4 operator roles</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Access review records, denial logs</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A004</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Boundary enforcement</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SEC-003</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Gateway data tier routing</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Routing decision logs</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A005</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Data: Cross-border</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SEC-003</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Provider selection per data tier</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Provider routing audit</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A006</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PII handling</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SEC-002, SEC-007</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Presidio detection + surrogate tokenization</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PII test results, DLP scan logs</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B001</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Threat protection</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SEC-001</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LlamaFirewall runtime protection</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Adversarial test results</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B002</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Security: Auth &amp; access</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SEC-004, SEC-005</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Casbin RBAC + API key management</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Access review, key rotation logs</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B003</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Supply chain</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SEC-008</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Model provenance verification</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Provenance registry, integrity logs</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C001</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Safety: Risk taxonomy</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GOV-003</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Risk categories in spec</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Spec version, risk assessment</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C002</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Safety: Output validation</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GOV-001, GOV-002</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 validators (NeMo + Guardrails AI)</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 verdict logs, accuracy metrics</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D001</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Reliability: Performance</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OPS-006</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Health monitoring + alerting</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Dashboard screenshots, alert logs</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D002</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Reliability: Optimization</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GOV-004</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Trainer + Critic loop with escalation</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Optimization logs, escalation records</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E001</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Accountability: Audit trail</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GOV-006</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Immutable JSONL + Parquet</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trail exports, integrity proof</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E002</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Accountability: Versioning</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GOV-007</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Git-versioned spec + Langfuse prompts</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Git log, prompt version history</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E003</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Accountability: Human oversight</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GOV-005</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Admin override + graduated escalation</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Override logs, escalation state changes</w:t>
            </w:r>
          </w:p>
        </w:tc>
      </w:tr>
      <w:tr>
        <w:tc>
          <w:tcPr>
            <w:tcW w:type="dxa" w:w="93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F001</w:t>
            </w:r>
          </w:p>
        </w:tc>
        <w:tc>
          <w:tcPr>
            <w:tcW w:type="dxa" w:w="163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Society: Bias mitigation</w:t>
            </w:r>
          </w:p>
        </w:tc>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GOV-001</w:t>
            </w:r>
          </w:p>
        </w:tc>
        <w:tc>
          <w:tcPr>
            <w:tcW w:type="dxa" w:w="257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NeMo guardrails + scope enforcement</w:t>
            </w:r>
          </w:p>
        </w:tc>
        <w:tc>
          <w:tcPr>
            <w:tcW w:type="dxa" w:w="3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Guardrail configuration, test results</w:t>
            </w:r>
          </w:p>
        </w:tc>
      </w:tr>
      <w:tr>
        <w:tc>
          <w:tcPr>
            <w:tcW w:type="dxa" w:w="93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F002</w:t>
            </w:r>
          </w:p>
        </w:tc>
        <w:tc>
          <w:tcPr>
            <w:tcW w:type="dxa" w:w="163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Society: Transparency</w:t>
            </w:r>
          </w:p>
        </w:tc>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Policy 2.1.4</w:t>
            </w:r>
          </w:p>
        </w:tc>
        <w:tc>
          <w:tcPr>
            <w:tcW w:type="dxa" w:w="257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AI disclosure requirements</w:t>
            </w:r>
          </w:p>
        </w:tc>
        <w:tc>
          <w:tcPr>
            <w:tcW w:type="dxa" w:w="3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Disclosure policy, UI labels</w:t>
            </w:r>
          </w:p>
        </w:tc>
      </w:tr>
    </w:tbl>
    <w:p>
      <w:r>
        <w:br w:type="page"/>
      </w:r>
    </w:p>
    <w:p>
      <w:pPr>
        <w:pStyle w:val="Heading2"/>
        <w:spacing w:before="280" w:after="160"/>
      </w:pPr>
      <w:r>
        <w:rPr>
          <w:rFonts w:ascii="Arial" w:cs="Arial" w:eastAsia="Arial" w:hAnsi="Arial"/>
          <w:b/>
          <w:bCs/>
          <w:color w:val="2E6B9E"/>
          <w:sz w:val="28"/>
          <w:szCs w:val="28"/>
        </w:rPr>
        <w:t xml:space="preserve">8.2 EU AI 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2340"/>
        <w:gridCol w:w="2127"/>
        <w:gridCol w:w="4042"/>
      </w:tblGrid>
      <w:tr>
        <w:trPr>
          <w:tblHeader/>
        </w:trPr>
        <w:tc>
          <w:tcPr>
            <w:tcW w:type="dxa" w:w="851"/>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23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27"/>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STC Control(s)</w:t>
            </w:r>
          </w:p>
        </w:tc>
        <w:tc>
          <w:tcPr>
            <w:tcW w:type="dxa" w:w="4042"/>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Compliance Evidence</w:t>
            </w:r>
          </w:p>
        </w:tc>
      </w:tr>
      <w:tr>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Art. 9</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Risk management system</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Full STC architecture</w:t>
            </w:r>
          </w:p>
        </w:tc>
        <w:tc>
          <w:tcPr>
            <w:tcW w:type="dxa" w:w="4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architecture doc, control inventory</w:t>
            </w:r>
          </w:p>
        </w:tc>
      </w:tr>
      <w:tr>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Art. 10</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governance</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SEC-002, SEC-003, OPS-004</w:t>
            </w:r>
          </w:p>
        </w:tc>
        <w:tc>
          <w:tcPr>
            <w:tcW w:type="dxa" w:w="4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 classification policy, PII handling evidence, retention records</w:t>
            </w:r>
          </w:p>
        </w:tc>
      </w:tr>
      <w:tr>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Art. 11</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Technical documentation</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All docs</w:t>
            </w:r>
          </w:p>
        </w:tc>
        <w:tc>
          <w:tcPr>
            <w:tcW w:type="dxa" w:w="4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Architecture doc, audit readiness package, spec</w:t>
            </w:r>
          </w:p>
        </w:tc>
      </w:tr>
      <w:tr>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Art. 12</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Record-keeping</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GOV-006, GOV-007</w:t>
            </w:r>
          </w:p>
        </w:tc>
        <w:tc>
          <w:tcPr>
            <w:tcW w:type="dxa" w:w="4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trail exports, spec version history</w:t>
            </w:r>
          </w:p>
        </w:tc>
      </w:tr>
      <w:tr>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Art. 13</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Transparency &amp; information</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Policy 2.1.4</w:t>
            </w:r>
          </w:p>
        </w:tc>
        <w:tc>
          <w:tcPr>
            <w:tcW w:type="dxa" w:w="4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Disclosure policy, user-facing labels</w:t>
            </w:r>
          </w:p>
        </w:tc>
      </w:tr>
      <w:tr>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Art. 14</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Human oversight</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GOV-005, Policy 2.1.3</w:t>
            </w:r>
          </w:p>
        </w:tc>
        <w:tc>
          <w:tcPr>
            <w:tcW w:type="dxa" w:w="4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Override capability evidence, human review process</w:t>
            </w:r>
          </w:p>
        </w:tc>
      </w:tr>
      <w:tr>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Art. 15</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Accuracy, robustness, security</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SEC-001, GOV-001, GOV-002</w:t>
            </w:r>
          </w:p>
        </w:tc>
        <w:tc>
          <w:tcPr>
            <w:tcW w:type="dxa" w:w="4042"/>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Adversarial test results, accuracy metrics, security testing</w:t>
            </w:r>
          </w:p>
        </w:tc>
      </w:tr>
      <w:tr>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Art. 62</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Incident reporting</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Section 2 of Security Architecture</w:t>
            </w:r>
          </w:p>
        </w:tc>
        <w:tc>
          <w:tcPr>
            <w:tcW w:type="dxa" w:w="404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Incident response playbook, incident records</w:t>
            </w:r>
          </w:p>
        </w:tc>
      </w:tr>
    </w:tbl>
    <w:p>
      <w:pPr>
        <w:spacing w:after="80"/>
      </w:pPr>
    </w:p>
    <w:p>
      <w:pPr>
        <w:pStyle w:val="Heading2"/>
        <w:spacing w:before="280" w:after="160"/>
      </w:pPr>
      <w:r>
        <w:rPr>
          <w:rFonts w:ascii="Arial" w:cs="Arial" w:eastAsia="Arial" w:hAnsi="Arial"/>
          <w:b/>
          <w:bCs/>
          <w:color w:val="2E6B9E"/>
          <w:sz w:val="28"/>
          <w:szCs w:val="28"/>
        </w:rPr>
        <w:t xml:space="preserve">8.3 SOC 2 Trust Services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1915"/>
        <w:gridCol w:w="2340"/>
        <w:gridCol w:w="4254"/>
      </w:tblGrid>
      <w:tr>
        <w:trPr>
          <w:tblHeader/>
        </w:trPr>
        <w:tc>
          <w:tcPr>
            <w:tcW w:type="dxa" w:w="851"/>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TSC</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3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STC Control(s)</w:t>
            </w:r>
          </w:p>
        </w:tc>
        <w:tc>
          <w:tcPr>
            <w:tcW w:type="dxa" w:w="4254"/>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CC6.1</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Logical and physical access</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SEC-004, SEC-009, SEC-010</w:t>
            </w:r>
          </w:p>
        </w:tc>
        <w:tc>
          <w:tcPr>
            <w:tcW w:type="dxa" w:w="425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Access review, network segmentation, TLS scan</w:t>
            </w:r>
          </w:p>
        </w:tc>
      </w:tr>
      <w:tr>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CC6.3</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Role-based access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SEC-004, Policy 2.5</w:t>
            </w:r>
          </w:p>
        </w:tc>
        <w:tc>
          <w:tcPr>
            <w:tcW w:type="dxa" w:w="425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Casbin policy, RACI matrix, access review</w:t>
            </w:r>
          </w:p>
        </w:tc>
      </w:tr>
      <w:tr>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CC6.5</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Data management</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SEC-002, OPS-004</w:t>
            </w:r>
          </w:p>
        </w:tc>
        <w:tc>
          <w:tcPr>
            <w:tcW w:type="dxa" w:w="425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PII handling evidence, retention compliance</w:t>
            </w:r>
          </w:p>
        </w:tc>
      </w:tr>
      <w:tr>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CC7.2</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OPS-006, GOV-006</w:t>
            </w:r>
          </w:p>
        </w:tc>
        <w:tc>
          <w:tcPr>
            <w:tcW w:type="dxa" w:w="425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Dashboard screenshots, audit trail, alert logs</w:t>
            </w:r>
          </w:p>
        </w:tc>
      </w:tr>
      <w:tr>
        <w:tc>
          <w:tcPr>
            <w:tcW w:type="dxa" w:w="85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CC7.3</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Incident response</w:t>
            </w:r>
          </w:p>
        </w:tc>
        <w:tc>
          <w:tcPr>
            <w:tcW w:type="dxa" w:w="23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Security Arch. Section 2</w:t>
            </w:r>
          </w:p>
        </w:tc>
        <w:tc>
          <w:tcPr>
            <w:tcW w:type="dxa" w:w="4254"/>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Incident playbook, incident records</w:t>
            </w:r>
          </w:p>
        </w:tc>
      </w:tr>
      <w:tr>
        <w:tc>
          <w:tcPr>
            <w:tcW w:type="dxa" w:w="85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CC8.1</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Change management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GOV-007, Policy 2.4</w:t>
            </w:r>
          </w:p>
        </w:tc>
        <w:tc>
          <w:tcPr>
            <w:tcW w:type="dxa" w:w="4254"/>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Git log, CAB minutes, testing evidence</w:t>
            </w:r>
          </w:p>
        </w:tc>
      </w:tr>
    </w:tbl>
    <w:p>
      <w:pPr>
        <w:spacing w:after="80"/>
      </w:pPr>
    </w:p>
    <w:p>
      <w:pPr>
        <w:pStyle w:val="Heading2"/>
        <w:spacing w:before="280" w:after="160"/>
      </w:pPr>
      <w:r>
        <w:rPr>
          <w:rFonts w:ascii="Arial" w:cs="Arial" w:eastAsia="Arial" w:hAnsi="Arial"/>
          <w:b/>
          <w:bCs/>
          <w:color w:val="2E6B9E"/>
          <w:sz w:val="28"/>
          <w:szCs w:val="28"/>
        </w:rPr>
        <w:t xml:space="preserve">8.4 FINRA Regulatory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915"/>
        <w:gridCol w:w="2127"/>
        <w:gridCol w:w="4148"/>
      </w:tblGrid>
      <w:tr>
        <w:trPr>
          <w:tblHeader/>
        </w:trPr>
        <w:tc>
          <w:tcPr>
            <w:tcW w:type="dxa" w:w="117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1915"/>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27"/>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STC Control(s)</w:t>
            </w:r>
          </w:p>
        </w:tc>
        <w:tc>
          <w:tcPr>
            <w:tcW w:type="dxa" w:w="414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Rule 3110</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Supervisory systems</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GOV-001 to GOV-005, Policy 2.1</w:t>
            </w:r>
          </w:p>
        </w:tc>
        <w:tc>
          <w:tcPr>
            <w:tcW w:type="dxa" w:w="414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Critic verdicts, escalation logs, human oversight</w:t>
            </w:r>
          </w:p>
        </w:tc>
      </w:tr>
      <w:tr>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Rule 4370</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Business continuity</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Security Arch. Section 9</w:t>
            </w:r>
          </w:p>
        </w:tc>
        <w:tc>
          <w:tcPr>
            <w:tcW w:type="dxa" w:w="414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BCP plan, backup tests, failover evidence</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Rule 4512</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Customer account records</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SEC-002, SEC-003</w:t>
            </w:r>
          </w:p>
        </w:tc>
        <w:tc>
          <w:tcPr>
            <w:tcW w:type="dxa" w:w="414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PII handling, data sovereignty evidence</w:t>
            </w:r>
          </w:p>
        </w:tc>
      </w:tr>
      <w:tr>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17a-4</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Record retention</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GOV-006, OPS-004</w:t>
            </w:r>
          </w:p>
        </w:tc>
        <w:tc>
          <w:tcPr>
            <w:tcW w:type="dxa" w:w="414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Audit trail, retention records, WORM compliance</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Reg S-P</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Privacy of customer info</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SEC-002, SEC-007, Policy 2.2</w:t>
            </w:r>
          </w:p>
        </w:tc>
        <w:tc>
          <w:tcPr>
            <w:tcW w:type="dxa" w:w="414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PII masking, DLP scan, data classification</w:t>
            </w:r>
          </w:p>
        </w:tc>
      </w:tr>
      <w:tr>
        <w:tc>
          <w:tcPr>
            <w:tcW w:type="dxa" w:w="117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Reg BI</w:t>
            </w:r>
          </w:p>
        </w:tc>
        <w:tc>
          <w:tcPr>
            <w:tcW w:type="dxa" w:w="1915"/>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Best interest</w:t>
            </w:r>
          </w:p>
        </w:tc>
        <w:tc>
          <w:tcPr>
            <w:tcW w:type="dxa" w:w="212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GOV-003, Policy 2.1.2</w:t>
            </w:r>
          </w:p>
        </w:tc>
        <w:tc>
          <w:tcPr>
            <w:tcW w:type="dxa" w:w="4148"/>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Scope enforcement (no investment advice)</w:t>
            </w:r>
          </w:p>
        </w:tc>
      </w:tr>
      <w:tr>
        <w:tc>
          <w:tcPr>
            <w:tcW w:type="dxa" w:w="117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Notice 21-29</w:t>
            </w:r>
          </w:p>
        </w:tc>
        <w:tc>
          <w:tcPr>
            <w:tcW w:type="dxa" w:w="1915"/>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Third-party risk</w:t>
            </w:r>
          </w:p>
        </w:tc>
        <w:tc>
          <w:tcPr>
            <w:tcW w:type="dxa" w:w="212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Policy 2.6</w:t>
            </w:r>
          </w:p>
        </w:tc>
        <w:tc>
          <w:tcPr>
            <w:tcW w:type="dxa" w:w="4148"/>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Vendor assessments, provider review records</w:t>
            </w:r>
          </w:p>
        </w:tc>
      </w:tr>
    </w:tbl>
    <w:p>
      <w:r>
        <w:br w:type="page"/>
      </w:r>
    </w:p>
    <w:p>
      <w:pPr>
        <w:pStyle w:val="Heading1"/>
        <w:spacing w:before="360" w:after="200"/>
      </w:pPr>
      <w:r>
        <w:rPr>
          <w:rFonts w:ascii="Arial" w:cs="Arial" w:eastAsia="Arial" w:hAnsi="Arial"/>
          <w:b/>
          <w:bCs/>
          <w:color w:val="1B3A5C"/>
          <w:sz w:val="36"/>
          <w:szCs w:val="36"/>
        </w:rPr>
        <w:t xml:space="preserve">9. Independent Review Requirements</w:t>
      </w:r>
    </w:p>
    <w:p>
      <w:pPr>
        <w:spacing w:after="120"/>
      </w:pPr>
      <w:r>
        <w:rPr>
          <w:rFonts w:ascii="Arial" w:cs="Arial" w:eastAsia="Arial" w:hAnsi="Arial"/>
          <w:sz w:val="22"/>
          <w:szCs w:val="22"/>
        </w:rPr>
        <w:t xml:space="preserve">To satisfy audit expectations for independent validation, the following reviews should be conducted: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2483"/>
        <w:gridCol w:w="2101"/>
        <w:gridCol w:w="1146"/>
        <w:gridCol w:w="2293"/>
      </w:tblGrid>
      <w:tr>
        <w:trPr>
          <w:tblHeader/>
        </w:trPr>
        <w:tc>
          <w:tcPr>
            <w:tcW w:type="dxa" w:w="1337"/>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Review Type</w:t>
            </w:r>
          </w:p>
        </w:tc>
        <w:tc>
          <w:tcPr>
            <w:tcW w:type="dxa" w:w="248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101"/>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Performed By</w:t>
            </w:r>
          </w:p>
        </w:tc>
        <w:tc>
          <w:tcPr>
            <w:tcW w:type="dxa" w:w="114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9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33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Penetration Test</w:t>
            </w:r>
          </w:p>
        </w:tc>
        <w:tc>
          <w:tcPr>
            <w:tcW w:type="dxa" w:w="248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Infrastructure + AI-specific attacks (MITRE ATLAS)</w:t>
            </w:r>
          </w:p>
        </w:tc>
        <w:tc>
          <w:tcPr>
            <w:tcW w:type="dxa" w:w="210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External security firm</w:t>
            </w:r>
          </w:p>
        </w:tc>
        <w:tc>
          <w:tcPr>
            <w:tcW w:type="dxa" w:w="114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Annual</w:t>
            </w:r>
          </w:p>
        </w:tc>
        <w:tc>
          <w:tcPr>
            <w:tcW w:type="dxa" w:w="229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Pen test report with findings and remediation</w:t>
            </w:r>
          </w:p>
        </w:tc>
      </w:tr>
      <w:tr>
        <w:tc>
          <w:tcPr>
            <w:tcW w:type="dxa" w:w="133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Architecture Review</w:t>
            </w:r>
          </w:p>
        </w:tc>
        <w:tc>
          <w:tcPr>
            <w:tcW w:type="dxa" w:w="248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STC design, control coverage, gap analysis</w:t>
            </w:r>
          </w:p>
        </w:tc>
        <w:tc>
          <w:tcPr>
            <w:tcW w:type="dxa" w:w="210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Internal security architecture team</w:t>
            </w:r>
          </w:p>
        </w:tc>
        <w:tc>
          <w:tcPr>
            <w:tcW w:type="dxa" w:w="114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 or on material change</w:t>
            </w:r>
          </w:p>
        </w:tc>
        <w:tc>
          <w:tcPr>
            <w:tcW w:type="dxa" w:w="229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Architecture review memo</w:t>
            </w:r>
          </w:p>
        </w:tc>
      </w:tr>
      <w:tr>
        <w:tc>
          <w:tcPr>
            <w:tcW w:type="dxa" w:w="133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Model Validation</w:t>
            </w:r>
          </w:p>
        </w:tc>
        <w:tc>
          <w:tcPr>
            <w:tcW w:type="dxa" w:w="248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Accuracy, bias, drift, hallucination rate</w:t>
            </w:r>
          </w:p>
        </w:tc>
        <w:tc>
          <w:tcPr>
            <w:tcW w:type="dxa" w:w="210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Model risk management team (independent)</w:t>
            </w:r>
          </w:p>
        </w:tc>
        <w:tc>
          <w:tcPr>
            <w:tcW w:type="dxa" w:w="114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Semi-annual</w:t>
            </w:r>
          </w:p>
        </w:tc>
        <w:tc>
          <w:tcPr>
            <w:tcW w:type="dxa" w:w="229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Model validation report</w:t>
            </w:r>
          </w:p>
        </w:tc>
      </w:tr>
      <w:tr>
        <w:tc>
          <w:tcPr>
            <w:tcW w:type="dxa" w:w="133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Code Review</w:t>
            </w:r>
          </w:p>
        </w:tc>
        <w:tc>
          <w:tcPr>
            <w:tcW w:type="dxa" w:w="248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Security-relevant code (Sentinel, auth, data security)</w:t>
            </w:r>
          </w:p>
        </w:tc>
        <w:tc>
          <w:tcPr>
            <w:tcW w:type="dxa" w:w="210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Peer review + SAST tools</w:t>
            </w:r>
          </w:p>
        </w:tc>
        <w:tc>
          <w:tcPr>
            <w:tcW w:type="dxa" w:w="114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 change (CI/CD)</w:t>
            </w:r>
          </w:p>
        </w:tc>
        <w:tc>
          <w:tcPr>
            <w:tcW w:type="dxa" w:w="229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Code review records, SAST results</w:t>
            </w:r>
          </w:p>
        </w:tc>
      </w:tr>
      <w:tr>
        <w:tc>
          <w:tcPr>
            <w:tcW w:type="dxa" w:w="1337"/>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Compliance Assessment</w:t>
            </w:r>
          </w:p>
        </w:tc>
        <w:tc>
          <w:tcPr>
            <w:tcW w:type="dxa" w:w="248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Regulatory control mapping completeness and evidence</w:t>
            </w:r>
          </w:p>
        </w:tc>
        <w:tc>
          <w:tcPr>
            <w:tcW w:type="dxa" w:w="2101"/>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Internal audit or external auditor</w:t>
            </w:r>
          </w:p>
        </w:tc>
        <w:tc>
          <w:tcPr>
            <w:tcW w:type="dxa" w:w="1146"/>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Annual</w:t>
            </w:r>
          </w:p>
        </w:tc>
        <w:tc>
          <w:tcPr>
            <w:tcW w:type="dxa" w:w="2293"/>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Compliance assessment report</w:t>
            </w:r>
          </w:p>
        </w:tc>
      </w:tr>
      <w:tr>
        <w:tc>
          <w:tcPr>
            <w:tcW w:type="dxa" w:w="1337"/>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Vendor Assessment</w:t>
            </w:r>
          </w:p>
        </w:tc>
        <w:tc>
          <w:tcPr>
            <w:tcW w:type="dxa" w:w="248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LLM provider security and data handling</w:t>
            </w:r>
          </w:p>
        </w:tc>
        <w:tc>
          <w:tcPr>
            <w:tcW w:type="dxa" w:w="2101"/>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Vendor risk management team</w:t>
            </w:r>
          </w:p>
        </w:tc>
        <w:tc>
          <w:tcPr>
            <w:tcW w:type="dxa" w:w="114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2293"/>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Vendor assessment scorecard</w:t>
            </w:r>
          </w:p>
        </w:tc>
      </w:tr>
    </w:tbl>
    <w:p>
      <w:r>
        <w:br w:type="page"/>
      </w:r>
    </w:p>
    <w:p>
      <w:pPr>
        <w:pStyle w:val="Heading1"/>
        <w:spacing w:before="360" w:after="200"/>
      </w:pPr>
      <w:r>
        <w:rPr>
          <w:rFonts w:ascii="Arial" w:cs="Arial" w:eastAsia="Arial" w:hAnsi="Arial"/>
          <w:b/>
          <w:bCs/>
          <w:color w:val="1B3A5C"/>
          <w:sz w:val="36"/>
          <w:szCs w:val="36"/>
        </w:rPr>
        <w:t xml:space="preserve">10. Training &amp; Awareness</w:t>
      </w:r>
    </w:p>
    <w:p>
      <w:pPr>
        <w:spacing w:after="80"/>
      </w:pPr>
    </w:p>
    <w:p>
      <w:pPr>
        <w:pStyle w:val="Heading2"/>
        <w:spacing w:before="280" w:after="160"/>
      </w:pPr>
      <w:r>
        <w:rPr>
          <w:rFonts w:ascii="Arial" w:cs="Arial" w:eastAsia="Arial" w:hAnsi="Arial"/>
          <w:b/>
          <w:bCs/>
          <w:color w:val="2E6B9E"/>
          <w:sz w:val="28"/>
          <w:szCs w:val="28"/>
        </w:rPr>
        <w:t xml:space="preserve">10.1 Operator Training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20"/>
        <w:gridCol w:w="2400"/>
        <w:gridCol w:w="1440"/>
      </w:tblGrid>
      <w:tr>
        <w:trPr>
          <w:tblHeader/>
        </w:trPr>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Training</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14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Refresh Cycle</w:t>
            </w:r>
          </w:p>
        </w:tc>
      </w:tr>
      <w:tr>
        <w:tc>
          <w:tcPr>
            <w:tcW w:type="dxa" w:w="120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Admin</w:t>
            </w:r>
          </w:p>
        </w:tc>
        <w:tc>
          <w:tcPr>
            <w:tcW w:type="dxa" w:w="4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STC architecture, incident response, spec management, key rotation</w:t>
            </w:r>
          </w:p>
        </w:tc>
        <w:tc>
          <w:tcPr>
            <w:tcW w:type="dxa" w:w="240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Written assessment (90% pass)</w:t>
            </w:r>
          </w:p>
        </w:tc>
        <w:tc>
          <w:tcPr>
            <w:tcW w:type="dxa" w:w="14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Annual</w:t>
            </w:r>
          </w:p>
        </w:tc>
      </w:tr>
      <w:tr>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Operator</w:t>
            </w:r>
          </w:p>
        </w:tc>
        <w:tc>
          <w:tcPr>
            <w:tcW w:type="dxa" w:w="4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System monitoring, escalation handling, basic troubleshooting</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Written assessment (85% pass)</w:t>
            </w:r>
          </w:p>
        </w:tc>
        <w:tc>
          <w:tcPr>
            <w:tcW w:type="dxa" w:w="14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w:t>
            </w:r>
          </w:p>
        </w:tc>
      </w:tr>
      <w:tr>
        <w:tc>
          <w:tcPr>
            <w:tcW w:type="dxa" w:w="120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Auditor</w:t>
            </w:r>
          </w:p>
        </w:tc>
        <w:tc>
          <w:tcPr>
            <w:tcW w:type="dxa" w:w="432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Audit trail navigation, compliance reporting, evidence collection</w:t>
            </w:r>
          </w:p>
        </w:tc>
        <w:tc>
          <w:tcPr>
            <w:tcW w:type="dxa" w:w="240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Walkthrough with audit lead</w:t>
            </w:r>
          </w:p>
        </w:tc>
        <w:tc>
          <w:tcPr>
            <w:tcW w:type="dxa" w:w="1440"/>
            <w:tcBorders>
              <w:top w:val="single" w:color="B0BEC5" w:sz="1"/>
              <w:left w:val="single" w:color="B0BEC5" w:sz="1"/>
              <w:bottom w:val="single" w:color="B0BEC5" w:sz="1"/>
              <w:right w:val="single" w:color="B0BEC5" w:sz="1"/>
            </w:tcBorders>
            <w:shd w:fill="F0F5FA" w:val="clear"/>
            <w:tcMar>
              <w:top w:type="dxa" w:w="80"/>
              <w:left w:type="dxa" w:w="120"/>
              <w:bottom w:type="dxa" w:w="80"/>
              <w:right w:type="dxa" w:w="120"/>
            </w:tcMar>
          </w:tcPr>
          <w:p>
            <w:r>
              <w:rPr>
                <w:rFonts w:ascii="Arial" w:cs="Arial" w:eastAsia="Arial" w:hAnsi="Arial"/>
                <w:sz w:val="20"/>
                <w:szCs w:val="20"/>
              </w:rPr>
              <w:t xml:space="preserve">Per engagement</w:t>
            </w:r>
          </w:p>
        </w:tc>
      </w:tr>
      <w:tr>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Developer</w:t>
            </w:r>
          </w:p>
        </w:tc>
        <w:tc>
          <w:tcPr>
            <w:tcW w:type="dxa" w:w="43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Security-aware development, Sentinel integration, adversarial testing</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Code review competency</w:t>
            </w:r>
          </w:p>
        </w:tc>
        <w:tc>
          <w:tcPr>
            <w:tcW w:type="dxa" w:w="14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Annual</w:t>
            </w:r>
          </w:p>
        </w:tc>
      </w:tr>
    </w:tbl>
    <w:p>
      <w:pPr>
        <w:spacing w:after="80"/>
      </w:pPr>
    </w:p>
    <w:p>
      <w:pPr>
        <w:pStyle w:val="Heading2"/>
        <w:spacing w:before="280" w:after="160"/>
      </w:pPr>
      <w:r>
        <w:rPr>
          <w:rFonts w:ascii="Arial" w:cs="Arial" w:eastAsia="Arial" w:hAnsi="Arial"/>
          <w:b/>
          <w:bCs/>
          <w:color w:val="2E6B9E"/>
          <w:sz w:val="28"/>
          <w:szCs w:val="28"/>
        </w:rPr>
        <w:t xml:space="preserve">10.2 End-User Awareness</w:t>
      </w:r>
    </w:p>
    <w:p>
      <w:pPr>
        <w:spacing w:after="100"/>
      </w:pPr>
      <w:r>
        <w:rPr>
          <w:rFonts w:ascii="Arial" w:cs="Arial" w:eastAsia="Arial" w:hAnsi="Arial"/>
          <w:b/>
          <w:bCs/>
          <w:sz w:val="22"/>
          <w:szCs w:val="22"/>
        </w:rPr>
        <w:t xml:space="preserve">10.2.1 </w:t>
      </w:r>
      <w:r>
        <w:rPr>
          <w:rFonts w:ascii="Arial" w:cs="Arial" w:eastAsia="Arial" w:hAnsi="Arial"/>
          <w:sz w:val="22"/>
          <w:szCs w:val="22"/>
        </w:rPr>
        <w:t xml:space="preserve">End users (advisors, analysts) receive AI literacy training covering: limitations of AI-generated content, requirement for human review of outputs, how to identify AI-generated vs. human-authored content, and escalation path for incorrect AI outputs.</w:t>
      </w:r>
    </w:p>
    <w:p>
      <w:pPr>
        <w:spacing w:after="100"/>
      </w:pPr>
      <w:r>
        <w:rPr>
          <w:rFonts w:ascii="Arial" w:cs="Arial" w:eastAsia="Arial" w:hAnsi="Arial"/>
          <w:b/>
          <w:bCs/>
          <w:sz w:val="22"/>
          <w:szCs w:val="22"/>
        </w:rPr>
        <w:t xml:space="preserve">10.2.2 </w:t>
      </w:r>
      <w:r>
        <w:rPr>
          <w:rFonts w:ascii="Arial" w:cs="Arial" w:eastAsia="Arial" w:hAnsi="Arial"/>
          <w:sz w:val="22"/>
          <w:szCs w:val="22"/>
        </w:rPr>
        <w:t xml:space="preserve">Training completion is tracked in the LMS. Minimum 95% completion rate required across the user population.</w:t>
      </w:r>
    </w:p>
    <w:p>
      <w:pPr>
        <w:spacing w:after="100"/>
      </w:pPr>
      <w:r>
        <w:rPr>
          <w:rFonts w:ascii="Arial" w:cs="Arial" w:eastAsia="Arial" w:hAnsi="Arial"/>
          <w:b/>
          <w:bCs/>
          <w:sz w:val="22"/>
          <w:szCs w:val="22"/>
        </w:rPr>
        <w:t xml:space="preserve">10.2.3 </w:t>
      </w:r>
      <w:r>
        <w:rPr>
          <w:rFonts w:ascii="Arial" w:cs="Arial" w:eastAsia="Arial" w:hAnsi="Arial"/>
          <w:sz w:val="22"/>
          <w:szCs w:val="22"/>
        </w:rPr>
        <w:t xml:space="preserve">Refresher training is triggered by: material system changes, regulatory updates, or incidents involving AI-generated content.</w:t>
      </w:r>
    </w:p>
    <w:p>
      <w:pPr>
        <w:spacing w:after="80"/>
      </w:pPr>
    </w:p>
    <w:p>
      <w:pPr>
        <w:spacing w:after="80"/>
      </w:pPr>
    </w:p>
    <w:p>
      <w:pPr>
        <w:spacing w:before="400"/>
        <w:jc w:val="center"/>
      </w:pPr>
      <w:r>
        <w:rPr>
          <w:rFonts w:ascii="Arial" w:cs="Arial" w:eastAsia="Arial" w:hAnsi="Arial"/>
          <w:i/>
          <w:iCs/>
          <w:color w:val="757575"/>
          <w:sz w:val="22"/>
          <w:szCs w:val="22"/>
        </w:rPr>
        <w:t xml:space="preserve">— END OF AUDIT READINESS PACKAGE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INTERNAL — AUDIT USE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57575"/>
        <w:sz w:val="18"/>
        <w:szCs w:val="18"/>
      </w:rPr>
      <w:t xml:space="preserve">STC Framework — Audit Readiness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B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2026-03-10T01:30:58.755Z</dcterms:created>
  <dcterms:modified xsi:type="dcterms:W3CDTF">2026-03-10T01:30:58.756Z</dcterms:modified>
</cp:coreProperties>
</file>

<file path=docProps/custom.xml><?xml version="1.0" encoding="utf-8"?>
<Properties xmlns="http://schemas.openxmlformats.org/officeDocument/2006/custom-properties" xmlns:vt="http://schemas.openxmlformats.org/officeDocument/2006/docPropsVTypes"/>
</file>