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rPr>
          <w:rFonts w:ascii="Times New Roman" w:hAnsi="Times New Roman"/>
          <w:b/>
          <w:i w:val="0"/>
          <w:sz w:val="38"/>
        </w:rPr>
        <w:t>LOGISTICS DELIVERY PERFORMANCE REPORT</w:t>
      </w:r>
    </w:p>
    <w:p>
      <w:pPr>
        <w:spacing w:after="160"/>
        <w:jc w:val="center"/>
      </w:pPr>
      <w:r>
        <w:rPr>
          <w:rFonts w:ascii="Times New Roman" w:hAnsi="Times New Roman"/>
          <w:b w:val="0"/>
          <w:i/>
          <w:sz w:val="26"/>
        </w:rPr>
        <w:t>Strategic Planning Report using Python</w:t>
      </w:r>
    </w:p>
    <w:p>
      <w:pPr>
        <w:spacing w:after="720"/>
        <w:jc w:val="center"/>
      </w:pPr>
      <w:r>
        <w:rPr>
          <w:rFonts w:ascii="Times New Roman" w:hAnsi="Times New Roman"/>
          <w:b w:val="0"/>
          <w:i w:val="0"/>
          <w:sz w:val="22"/>
        </w:rPr>
        <w:t>Dataset: Logistics delivery-order dataset | Orders analyzed: 96,281 | Target: Delivery performance</w:t>
      </w:r>
    </w:p>
    <w:p>
      <w:pPr>
        <w:pStyle w:val="Heading1"/>
      </w:pPr>
      <w:r>
        <w:t>1. Dataset / Background Research</w:t>
      </w:r>
    </w:p>
    <w:p>
      <w:pPr>
        <w:spacing w:after="80" w:line="252" w:lineRule="auto"/>
      </w:pPr>
      <w:r>
        <w:rPr>
          <w:rFonts w:ascii="Times New Roman" w:hAnsi="Times New Roman"/>
          <w:sz w:val="24"/>
        </w:rPr>
        <w:t>This project analyzes a logistics delivery-order dataset to evaluate how reliably orders were delivered against estimated timelines. The analysis focuses on delivery performance classification and delay-risk patterns across month, customer state, product category, and extreme-delay orders.</w:t>
      </w:r>
    </w:p>
    <w:p>
      <w:pPr>
        <w:spacing w:after="80" w:line="252" w:lineRule="auto"/>
      </w:pPr>
      <w:r>
        <w:rPr>
          <w:rFonts w:ascii="Times New Roman" w:hAnsi="Times New Roman"/>
          <w:sz w:val="24"/>
        </w:rPr>
        <w:t>After cleaning and preparing the data, 96,281 orders were available for analysis: 88,459 were on time and 7,822 were delayed. Average actual delivery was 12.57 days against an average estimated delivery of 23.74 days, and 884 orders were identified as extreme delays of 20 or more days.</w:t>
      </w:r>
    </w:p>
    <w:tbl>
      <w:tblPr>
        <w:tblStyle w:val="TableGrid"/>
        <w:tblW w:type="dxa" w:w="7000"/>
        <w:tblLayout w:type="fixed"/>
        <w:tblLook w:firstColumn="1" w:firstRow="1" w:lastColumn="0" w:lastRow="0" w:noHBand="0" w:noVBand="1" w:val="04A0"/>
      </w:tblPr>
      <w:tblGrid>
        <w:gridCol w:w="4000"/>
        <w:gridCol w:w="3000"/>
      </w:tblGrid>
      <w:tr>
        <w:tc>
          <w:tcPr>
            <w:tcW w:type="dxa" w:w="4000"/>
            <w:shd w:fill="D9EAF7"/>
            <w:vAlign w:val="center"/>
            <w:tcMar>
              <w:top w:w="50" w:type="dxa"/>
              <w:start w:w="90" w:type="dxa"/>
              <w:bottom w:w="50" w:type="dxa"/>
              <w:end w:w="90" w:type="dxa"/>
            </w:tcMar>
          </w:tcPr>
          <w:p>
            <w:pPr>
              <w:spacing w:after="0"/>
            </w:pPr>
            <w:r>
              <w:rPr>
                <w:rFonts w:ascii="Times New Roman" w:hAnsi="Times New Roman"/>
                <w:b/>
                <w:sz w:val="20"/>
              </w:rPr>
              <w:t>Dataset Measure</w:t>
            </w:r>
          </w:p>
        </w:tc>
        <w:tc>
          <w:tcPr>
            <w:tcW w:type="dxa" w:w="3000"/>
            <w:shd w:fill="D9EAF7"/>
            <w:vAlign w:val="center"/>
            <w:tcMar>
              <w:top w:w="50" w:type="dxa"/>
              <w:start w:w="90" w:type="dxa"/>
              <w:bottom w:w="50" w:type="dxa"/>
              <w:end w:w="90" w:type="dxa"/>
            </w:tcMar>
          </w:tcPr>
          <w:p>
            <w:pPr>
              <w:spacing w:after="0"/>
            </w:pPr>
            <w:r>
              <w:rPr>
                <w:rFonts w:ascii="Times New Roman" w:hAnsi="Times New Roman"/>
                <w:b/>
                <w:sz w:val="20"/>
              </w:rPr>
              <w:t>Value</w:t>
            </w:r>
          </w:p>
        </w:tc>
      </w:tr>
      <w:tr>
        <w:tc>
          <w:tcPr>
            <w:tcW w:type="dxa" w:w="4000"/>
            <w:vAlign w:val="center"/>
            <w:tcMar>
              <w:top w:w="50" w:type="dxa"/>
              <w:start w:w="90" w:type="dxa"/>
              <w:bottom w:w="50" w:type="dxa"/>
              <w:end w:w="90" w:type="dxa"/>
            </w:tcMar>
          </w:tcPr>
          <w:p>
            <w:pPr>
              <w:spacing w:after="0"/>
            </w:pPr>
            <w:r>
              <w:rPr>
                <w:rFonts w:ascii="Times New Roman" w:hAnsi="Times New Roman"/>
                <w:b w:val="0"/>
                <w:sz w:val="20"/>
              </w:rPr>
              <w:t>Total Orders Analyzed</w:t>
            </w:r>
          </w:p>
        </w:tc>
        <w:tc>
          <w:tcPr>
            <w:tcW w:type="dxa" w:w="3000"/>
            <w:vAlign w:val="center"/>
            <w:tcMar>
              <w:top w:w="50" w:type="dxa"/>
              <w:start w:w="90" w:type="dxa"/>
              <w:bottom w:w="50" w:type="dxa"/>
              <w:end w:w="90" w:type="dxa"/>
            </w:tcMar>
          </w:tcPr>
          <w:p>
            <w:pPr>
              <w:spacing w:after="0"/>
            </w:pPr>
            <w:r>
              <w:rPr>
                <w:rFonts w:ascii="Times New Roman" w:hAnsi="Times New Roman"/>
                <w:b w:val="0"/>
                <w:sz w:val="20"/>
              </w:rPr>
              <w:t>96,281</w:t>
            </w:r>
          </w:p>
        </w:tc>
      </w:tr>
      <w:tr>
        <w:tc>
          <w:tcPr>
            <w:tcW w:type="dxa" w:w="4000"/>
            <w:vAlign w:val="center"/>
            <w:tcMar>
              <w:top w:w="50" w:type="dxa"/>
              <w:start w:w="90" w:type="dxa"/>
              <w:bottom w:w="50" w:type="dxa"/>
              <w:end w:w="90" w:type="dxa"/>
            </w:tcMar>
          </w:tcPr>
          <w:p>
            <w:pPr>
              <w:spacing w:after="0"/>
            </w:pPr>
            <w:r>
              <w:rPr>
                <w:rFonts w:ascii="Times New Roman" w:hAnsi="Times New Roman"/>
                <w:b w:val="0"/>
                <w:sz w:val="20"/>
              </w:rPr>
              <w:t>On-Time Orders</w:t>
            </w:r>
          </w:p>
        </w:tc>
        <w:tc>
          <w:tcPr>
            <w:tcW w:type="dxa" w:w="3000"/>
            <w:vAlign w:val="center"/>
            <w:tcMar>
              <w:top w:w="50" w:type="dxa"/>
              <w:start w:w="90" w:type="dxa"/>
              <w:bottom w:w="50" w:type="dxa"/>
              <w:end w:w="90" w:type="dxa"/>
            </w:tcMar>
          </w:tcPr>
          <w:p>
            <w:pPr>
              <w:spacing w:after="0"/>
            </w:pPr>
            <w:r>
              <w:rPr>
                <w:rFonts w:ascii="Times New Roman" w:hAnsi="Times New Roman"/>
                <w:b w:val="0"/>
                <w:sz w:val="20"/>
              </w:rPr>
              <w:t>88,459</w:t>
            </w:r>
          </w:p>
        </w:tc>
      </w:tr>
      <w:tr>
        <w:tc>
          <w:tcPr>
            <w:tcW w:type="dxa" w:w="4000"/>
            <w:vAlign w:val="center"/>
            <w:tcMar>
              <w:top w:w="50" w:type="dxa"/>
              <w:start w:w="90" w:type="dxa"/>
              <w:bottom w:w="50" w:type="dxa"/>
              <w:end w:w="90" w:type="dxa"/>
            </w:tcMar>
          </w:tcPr>
          <w:p>
            <w:pPr>
              <w:spacing w:after="0"/>
            </w:pPr>
            <w:r>
              <w:rPr>
                <w:rFonts w:ascii="Times New Roman" w:hAnsi="Times New Roman"/>
                <w:b w:val="0"/>
                <w:sz w:val="20"/>
              </w:rPr>
              <w:t>Delayed Orders</w:t>
            </w:r>
          </w:p>
        </w:tc>
        <w:tc>
          <w:tcPr>
            <w:tcW w:type="dxa" w:w="3000"/>
            <w:vAlign w:val="center"/>
            <w:tcMar>
              <w:top w:w="50" w:type="dxa"/>
              <w:start w:w="90" w:type="dxa"/>
              <w:bottom w:w="50" w:type="dxa"/>
              <w:end w:w="90" w:type="dxa"/>
            </w:tcMar>
          </w:tcPr>
          <w:p>
            <w:pPr>
              <w:spacing w:after="0"/>
            </w:pPr>
            <w:r>
              <w:rPr>
                <w:rFonts w:ascii="Times New Roman" w:hAnsi="Times New Roman"/>
                <w:b w:val="0"/>
                <w:sz w:val="20"/>
              </w:rPr>
              <w:t>7,822</w:t>
            </w:r>
          </w:p>
        </w:tc>
      </w:tr>
      <w:tr>
        <w:tc>
          <w:tcPr>
            <w:tcW w:type="dxa" w:w="4000"/>
            <w:vAlign w:val="center"/>
            <w:tcMar>
              <w:top w:w="50" w:type="dxa"/>
              <w:start w:w="90" w:type="dxa"/>
              <w:bottom w:w="50" w:type="dxa"/>
              <w:end w:w="90" w:type="dxa"/>
            </w:tcMar>
          </w:tcPr>
          <w:p>
            <w:pPr>
              <w:spacing w:after="0"/>
            </w:pPr>
            <w:r>
              <w:rPr>
                <w:rFonts w:ascii="Times New Roman" w:hAnsi="Times New Roman"/>
                <w:b w:val="0"/>
                <w:sz w:val="20"/>
              </w:rPr>
              <w:t>On-Time Rate</w:t>
            </w:r>
          </w:p>
        </w:tc>
        <w:tc>
          <w:tcPr>
            <w:tcW w:type="dxa" w:w="3000"/>
            <w:vAlign w:val="center"/>
            <w:tcMar>
              <w:top w:w="50" w:type="dxa"/>
              <w:start w:w="90" w:type="dxa"/>
              <w:bottom w:w="50" w:type="dxa"/>
              <w:end w:w="90" w:type="dxa"/>
            </w:tcMar>
          </w:tcPr>
          <w:p>
            <w:pPr>
              <w:spacing w:after="0"/>
            </w:pPr>
            <w:r>
              <w:rPr>
                <w:rFonts w:ascii="Times New Roman" w:hAnsi="Times New Roman"/>
                <w:b w:val="0"/>
                <w:sz w:val="20"/>
              </w:rPr>
              <w:t>91.88%</w:t>
            </w:r>
          </w:p>
        </w:tc>
      </w:tr>
      <w:tr>
        <w:tc>
          <w:tcPr>
            <w:tcW w:type="dxa" w:w="4000"/>
            <w:vAlign w:val="center"/>
            <w:tcMar>
              <w:top w:w="50" w:type="dxa"/>
              <w:start w:w="90" w:type="dxa"/>
              <w:bottom w:w="50" w:type="dxa"/>
              <w:end w:w="90" w:type="dxa"/>
            </w:tcMar>
          </w:tcPr>
          <w:p>
            <w:pPr>
              <w:spacing w:after="0"/>
            </w:pPr>
            <w:r>
              <w:rPr>
                <w:rFonts w:ascii="Times New Roman" w:hAnsi="Times New Roman"/>
                <w:b w:val="0"/>
                <w:sz w:val="20"/>
              </w:rPr>
              <w:t>Delay Rate</w:t>
            </w:r>
          </w:p>
        </w:tc>
        <w:tc>
          <w:tcPr>
            <w:tcW w:type="dxa" w:w="3000"/>
            <w:vAlign w:val="center"/>
            <w:tcMar>
              <w:top w:w="50" w:type="dxa"/>
              <w:start w:w="90" w:type="dxa"/>
              <w:bottom w:w="50" w:type="dxa"/>
              <w:end w:w="90" w:type="dxa"/>
            </w:tcMar>
          </w:tcPr>
          <w:p>
            <w:pPr>
              <w:spacing w:after="0"/>
            </w:pPr>
            <w:r>
              <w:rPr>
                <w:rFonts w:ascii="Times New Roman" w:hAnsi="Times New Roman"/>
                <w:b w:val="0"/>
                <w:sz w:val="20"/>
              </w:rPr>
              <w:t>8.12%</w:t>
            </w:r>
          </w:p>
        </w:tc>
      </w:tr>
      <w:tr>
        <w:tc>
          <w:tcPr>
            <w:tcW w:type="dxa" w:w="4000"/>
            <w:vAlign w:val="center"/>
            <w:tcMar>
              <w:top w:w="50" w:type="dxa"/>
              <w:start w:w="90" w:type="dxa"/>
              <w:bottom w:w="50" w:type="dxa"/>
              <w:end w:w="90" w:type="dxa"/>
            </w:tcMar>
          </w:tcPr>
          <w:p>
            <w:pPr>
              <w:spacing w:after="0"/>
            </w:pPr>
            <w:r>
              <w:rPr>
                <w:rFonts w:ascii="Times New Roman" w:hAnsi="Times New Roman"/>
                <w:b w:val="0"/>
                <w:sz w:val="20"/>
              </w:rPr>
              <w:t>Average Actual Delivery</w:t>
            </w:r>
          </w:p>
        </w:tc>
        <w:tc>
          <w:tcPr>
            <w:tcW w:type="dxa" w:w="3000"/>
            <w:vAlign w:val="center"/>
            <w:tcMar>
              <w:top w:w="50" w:type="dxa"/>
              <w:start w:w="90" w:type="dxa"/>
              <w:bottom w:w="50" w:type="dxa"/>
              <w:end w:w="90" w:type="dxa"/>
            </w:tcMar>
          </w:tcPr>
          <w:p>
            <w:pPr>
              <w:spacing w:after="0"/>
            </w:pPr>
            <w:r>
              <w:rPr>
                <w:rFonts w:ascii="Times New Roman" w:hAnsi="Times New Roman"/>
                <w:b w:val="0"/>
                <w:sz w:val="20"/>
              </w:rPr>
              <w:t>12.57 days</w:t>
            </w:r>
          </w:p>
        </w:tc>
      </w:tr>
      <w:tr>
        <w:tc>
          <w:tcPr>
            <w:tcW w:type="dxa" w:w="4000"/>
            <w:vAlign w:val="center"/>
            <w:tcMar>
              <w:top w:w="50" w:type="dxa"/>
              <w:start w:w="90" w:type="dxa"/>
              <w:bottom w:w="50" w:type="dxa"/>
              <w:end w:w="90" w:type="dxa"/>
            </w:tcMar>
          </w:tcPr>
          <w:p>
            <w:pPr>
              <w:spacing w:after="0"/>
            </w:pPr>
            <w:r>
              <w:rPr>
                <w:rFonts w:ascii="Times New Roman" w:hAnsi="Times New Roman"/>
                <w:b w:val="0"/>
                <w:sz w:val="20"/>
              </w:rPr>
              <w:t>Average Estimated Delivery</w:t>
            </w:r>
          </w:p>
        </w:tc>
        <w:tc>
          <w:tcPr>
            <w:tcW w:type="dxa" w:w="3000"/>
            <w:vAlign w:val="center"/>
            <w:tcMar>
              <w:top w:w="50" w:type="dxa"/>
              <w:start w:w="90" w:type="dxa"/>
              <w:bottom w:w="50" w:type="dxa"/>
              <w:end w:w="90" w:type="dxa"/>
            </w:tcMar>
          </w:tcPr>
          <w:p>
            <w:pPr>
              <w:spacing w:after="0"/>
            </w:pPr>
            <w:r>
              <w:rPr>
                <w:rFonts w:ascii="Times New Roman" w:hAnsi="Times New Roman"/>
                <w:b w:val="0"/>
                <w:sz w:val="20"/>
              </w:rPr>
              <w:t>23.74 days</w:t>
            </w:r>
          </w:p>
        </w:tc>
      </w:tr>
      <w:tr>
        <w:tc>
          <w:tcPr>
            <w:tcW w:type="dxa" w:w="4000"/>
            <w:vAlign w:val="center"/>
            <w:tcMar>
              <w:top w:w="50" w:type="dxa"/>
              <w:start w:w="90" w:type="dxa"/>
              <w:bottom w:w="50" w:type="dxa"/>
              <w:end w:w="90" w:type="dxa"/>
            </w:tcMar>
          </w:tcPr>
          <w:p>
            <w:pPr>
              <w:spacing w:after="0"/>
            </w:pPr>
            <w:r>
              <w:rPr>
                <w:rFonts w:ascii="Times New Roman" w:hAnsi="Times New Roman"/>
                <w:b w:val="0"/>
                <w:sz w:val="20"/>
              </w:rPr>
              <w:t>Extreme Delays</w:t>
            </w:r>
          </w:p>
        </w:tc>
        <w:tc>
          <w:tcPr>
            <w:tcW w:type="dxa" w:w="3000"/>
            <w:vAlign w:val="center"/>
            <w:tcMar>
              <w:top w:w="50" w:type="dxa"/>
              <w:start w:w="90" w:type="dxa"/>
              <w:bottom w:w="50" w:type="dxa"/>
              <w:end w:w="90" w:type="dxa"/>
            </w:tcMar>
          </w:tcPr>
          <w:p>
            <w:pPr>
              <w:spacing w:after="0"/>
            </w:pPr>
            <w:r>
              <w:rPr>
                <w:rFonts w:ascii="Times New Roman" w:hAnsi="Times New Roman"/>
                <w:b w:val="0"/>
                <w:sz w:val="20"/>
              </w:rPr>
              <w:t>884 orders at 20+ days</w:t>
            </w:r>
          </w:p>
        </w:tc>
      </w:tr>
    </w:tbl>
    <w:p/>
    <w:p>
      <w:pPr>
        <w:pStyle w:val="Heading1"/>
      </w:pPr>
      <w:r>
        <w:t>2. Project Objectives</w:t>
      </w:r>
    </w:p>
    <w:p>
      <w:pPr>
        <w:spacing w:after="80" w:line="252" w:lineRule="auto"/>
      </w:pPr>
      <w:r>
        <w:rPr>
          <w:rFonts w:ascii="Times New Roman" w:hAnsi="Times New Roman"/>
          <w:sz w:val="24"/>
        </w:rPr>
        <w:t>The project objectives are:</w:t>
      </w:r>
    </w:p>
    <w:p>
      <w:pPr>
        <w:pStyle w:val="ListBullet"/>
        <w:spacing w:after="40"/>
        <w:ind w:left="360" w:hanging="360"/>
      </w:pPr>
      <w:r>
        <w:rPr>
          <w:rFonts w:ascii="Times New Roman" w:hAnsi="Times New Roman"/>
          <w:sz w:val="24"/>
        </w:rPr>
        <w:t>Measure overall delivery performance using on-time and delayed-order rates.</w:t>
      </w:r>
    </w:p>
    <w:p>
      <w:pPr>
        <w:pStyle w:val="ListBullet"/>
        <w:spacing w:after="40"/>
        <w:ind w:left="360" w:hanging="360"/>
      </w:pPr>
      <w:r>
        <w:rPr>
          <w:rFonts w:ascii="Times New Roman" w:hAnsi="Times New Roman"/>
          <w:sz w:val="24"/>
        </w:rPr>
        <w:t>Compare actual delivery time with estimated delivery time to understand promise accuracy.</w:t>
      </w:r>
    </w:p>
    <w:p>
      <w:pPr>
        <w:pStyle w:val="ListBullet"/>
        <w:spacing w:after="40"/>
        <w:ind w:left="360" w:hanging="360"/>
      </w:pPr>
      <w:r>
        <w:rPr>
          <w:rFonts w:ascii="Times New Roman" w:hAnsi="Times New Roman"/>
          <w:sz w:val="24"/>
        </w:rPr>
        <w:t>Analyze delay patterns by month, customer state, and product category.</w:t>
      </w:r>
    </w:p>
    <w:p>
      <w:pPr>
        <w:pStyle w:val="ListBullet"/>
        <w:spacing w:after="40"/>
        <w:ind w:left="360" w:hanging="360"/>
      </w:pPr>
      <w:r>
        <w:rPr>
          <w:rFonts w:ascii="Times New Roman" w:hAnsi="Times New Roman"/>
          <w:sz w:val="24"/>
        </w:rPr>
        <w:t>Identify extreme delays of 20 or more days and examine when they are concentrated.</w:t>
      </w:r>
    </w:p>
    <w:p>
      <w:pPr>
        <w:pStyle w:val="ListBullet"/>
        <w:spacing w:after="40"/>
        <w:ind w:left="360" w:hanging="360"/>
      </w:pPr>
      <w:r>
        <w:rPr>
          <w:rFonts w:ascii="Times New Roman" w:hAnsi="Times New Roman"/>
          <w:sz w:val="24"/>
        </w:rPr>
        <w:t>Prepare concise, reproducible Python logic that supports the planned analysis.</w:t>
      </w:r>
    </w:p>
    <w:p>
      <w:pPr>
        <w:pStyle w:val="Heading1"/>
      </w:pPr>
      <w:r>
        <w:t>3. Analysis Roadmap</w:t>
      </w:r>
    </w:p>
    <w:p>
      <w:pPr>
        <w:spacing w:after="80" w:line="252" w:lineRule="auto"/>
      </w:pPr>
      <w:r>
        <w:rPr>
          <w:rFonts w:ascii="Times New Roman" w:hAnsi="Times New Roman"/>
          <w:sz w:val="24"/>
        </w:rPr>
        <w:t>The analysis will follow a structured workflow from data preparation to performance measurement and delay-risk segmentation.</w:t>
      </w:r>
    </w:p>
    <w:p>
      <w:pPr>
        <w:pStyle w:val="NoSpacing"/>
      </w:pPr>
      <w:r>
        <w:rPr>
          <w:rFonts w:ascii="Consolas" w:hAnsi="Consolas"/>
          <w:sz w:val="17"/>
        </w:rPr>
        <w:t>Data Collection -&gt; Data Cleaning -&gt; Delivery Performance Labeling</w:t>
      </w:r>
      <w:r>
        <w:br/>
      </w:r>
      <w:r>
        <w:rPr>
          <w:rFonts w:ascii="Consolas" w:hAnsi="Consolas"/>
          <w:sz w:val="17"/>
        </w:rPr>
        <w:t>-&gt; KPI Summary -&gt; Monthly / State / Product-category Delay Analysis</w:t>
      </w:r>
      <w:r>
        <w:br/>
      </w:r>
      <w:r>
        <w:rPr>
          <w:rFonts w:ascii="Consolas" w:hAnsi="Consolas"/>
          <w:sz w:val="17"/>
        </w:rPr>
        <w:t>-&gt; Extreme-delay Analysis -&gt; Final Business Insights</w:t>
      </w:r>
    </w:p>
    <w:p>
      <w:pPr>
        <w:pStyle w:val="Heading1"/>
      </w:pPr>
      <w:r>
        <w:t>4. Expected Outcome</w:t>
      </w:r>
    </w:p>
    <w:p>
      <w:pPr>
        <w:spacing w:after="80" w:line="252" w:lineRule="auto"/>
      </w:pPr>
      <w:r>
        <w:rPr>
          <w:rFonts w:ascii="Times New Roman" w:hAnsi="Times New Roman"/>
          <w:sz w:val="24"/>
        </w:rPr>
        <w:t>The expected outcome is an analysis-ready delivery performance view that clearly separates normal operations from delay-risk areas.</w:t>
      </w:r>
    </w:p>
    <w:p>
      <w:pPr>
        <w:pStyle w:val="ListBullet"/>
        <w:spacing w:after="40"/>
        <w:ind w:left="360" w:hanging="360"/>
      </w:pPr>
      <w:r>
        <w:rPr>
          <w:rFonts w:ascii="Times New Roman" w:hAnsi="Times New Roman"/>
          <w:sz w:val="24"/>
        </w:rPr>
        <w:t>A cleaned dataset of 96,281 analyzed orders with delivery-performance labels.</w:t>
      </w:r>
    </w:p>
    <w:p>
      <w:pPr>
        <w:pStyle w:val="ListBullet"/>
        <w:spacing w:after="40"/>
        <w:ind w:left="360" w:hanging="360"/>
      </w:pPr>
      <w:r>
        <w:rPr>
          <w:rFonts w:ascii="Times New Roman" w:hAnsi="Times New Roman"/>
          <w:sz w:val="24"/>
        </w:rPr>
        <w:t>A KPI summary covering total orders, on-time orders, delayed orders, and delay rate.</w:t>
      </w:r>
    </w:p>
    <w:p>
      <w:pPr>
        <w:pStyle w:val="ListBullet"/>
        <w:spacing w:after="40"/>
        <w:ind w:left="360" w:hanging="360"/>
      </w:pPr>
      <w:r>
        <w:rPr>
          <w:rFonts w:ascii="Times New Roman" w:hAnsi="Times New Roman"/>
          <w:sz w:val="24"/>
        </w:rPr>
        <w:t>Monthly, state-wise, and product-category views that identify where delays are concentrated.</w:t>
      </w:r>
    </w:p>
    <w:p>
      <w:pPr>
        <w:pStyle w:val="ListBullet"/>
        <w:spacing w:after="40"/>
        <w:ind w:left="360" w:hanging="360"/>
      </w:pPr>
      <w:r>
        <w:rPr>
          <w:rFonts w:ascii="Times New Roman" w:hAnsi="Times New Roman"/>
          <w:sz w:val="24"/>
        </w:rPr>
        <w:t>A focused extreme-delay subset for orders delayed by 20 or more days.</w:t>
      </w:r>
    </w:p>
    <w:p>
      <w:pPr>
        <w:pStyle w:val="Heading1"/>
      </w:pPr>
      <w:r>
        <w:t>5. Python Pseudocode / Actual Snippets</w:t>
      </w:r>
    </w:p>
    <w:p>
      <w:pPr>
        <w:spacing w:after="80" w:line="252" w:lineRule="auto"/>
      </w:pPr>
      <w:r>
        <w:rPr>
          <w:rFonts w:ascii="Times New Roman" w:hAnsi="Times New Roman"/>
          <w:sz w:val="24"/>
        </w:rPr>
        <w:t>The following Python pseudocode is written in a clean, readable manner to show the proposed approach.</w:t>
      </w:r>
    </w:p>
    <w:p>
      <w:pPr>
        <w:spacing w:before="40" w:after="40"/>
      </w:pPr>
      <w:r>
        <w:rPr>
          <w:rFonts w:ascii="Times New Roman" w:hAnsi="Times New Roman"/>
          <w:b/>
          <w:sz w:val="22"/>
        </w:rPr>
        <w:t>Step 1: Prepare delivery-performance fields</w:t>
      </w:r>
    </w:p>
    <w:p>
      <w:pPr>
        <w:pStyle w:val="NoSpacing"/>
        <w:spacing w:after="60"/>
      </w:pPr>
      <w:r>
        <w:rPr>
          <w:rFonts w:ascii="Consolas" w:hAnsi="Consolas"/>
          <w:sz w:val="15"/>
        </w:rPr>
        <w:t>orders["actual_delivery_days"] = (orders["delivered_date"] - orders["purchase_date"]).dt.days</w:t>
      </w:r>
      <w:r>
        <w:br/>
      </w:r>
      <w:r>
        <w:rPr>
          <w:rFonts w:ascii="Consolas" w:hAnsi="Consolas"/>
          <w:sz w:val="15"/>
        </w:rPr>
        <w:t>orders["estimated_delivery_days"] = (orders["estimated_delivery_date"] - orders["purchase_date"]).dt.days</w:t>
      </w:r>
      <w:r>
        <w:br/>
      </w:r>
      <w:r>
        <w:rPr>
          <w:rFonts w:ascii="Consolas" w:hAnsi="Consolas"/>
          <w:sz w:val="15"/>
        </w:rPr>
        <w:t>orders["delay_days"] = orders["actual_delivery_days"] - orders["estimated_delivery_days"]</w:t>
      </w:r>
      <w:r>
        <w:br/>
      </w:r>
      <w:r>
        <w:rPr>
          <w:rFonts w:ascii="Consolas" w:hAnsi="Consolas"/>
          <w:sz w:val="15"/>
        </w:rPr>
      </w:r>
      <w:r>
        <w:br/>
      </w:r>
      <w:r>
        <w:rPr>
          <w:rFonts w:ascii="Consolas" w:hAnsi="Consolas"/>
          <w:sz w:val="15"/>
        </w:rPr>
        <w:t>orders["delivery_performance"] = orders["delay_days"].apply(</w:t>
      </w:r>
      <w:r>
        <w:br/>
      </w:r>
      <w:r>
        <w:rPr>
          <w:rFonts w:ascii="Consolas" w:hAnsi="Consolas"/>
          <w:sz w:val="15"/>
        </w:rPr>
        <w:t xml:space="preserve">    lambda days: "Delayed" if days &gt; 0 else "On Time"</w:t>
      </w:r>
      <w:r>
        <w:br/>
      </w:r>
      <w:r>
        <w:rPr>
          <w:rFonts w:ascii="Consolas" w:hAnsi="Consolas"/>
          <w:sz w:val="15"/>
        </w:rPr>
        <w:t>)</w:t>
      </w:r>
    </w:p>
    <w:p>
      <w:pPr>
        <w:spacing w:before="40" w:after="40"/>
      </w:pPr>
      <w:r>
        <w:rPr>
          <w:rFonts w:ascii="Times New Roman" w:hAnsi="Times New Roman"/>
          <w:b/>
          <w:sz w:val="22"/>
        </w:rPr>
        <w:t>Step 2: Calculate overall performance KPIs</w:t>
      </w:r>
    </w:p>
    <w:p>
      <w:pPr>
        <w:pStyle w:val="NoSpacing"/>
        <w:spacing w:after="60"/>
      </w:pPr>
      <w:r>
        <w:rPr>
          <w:rFonts w:ascii="Consolas" w:hAnsi="Consolas"/>
          <w:sz w:val="15"/>
        </w:rPr>
        <w:t>status_counts = clean_delivery_analysis["delivery_performance"].value_counts()</w:t>
      </w:r>
      <w:r>
        <w:br/>
      </w:r>
      <w:r>
        <w:rPr>
          <w:rFonts w:ascii="Consolas" w:hAnsi="Consolas"/>
          <w:sz w:val="15"/>
        </w:rPr>
      </w:r>
      <w:r>
        <w:br/>
      </w:r>
      <w:r>
        <w:rPr>
          <w:rFonts w:ascii="Consolas" w:hAnsi="Consolas"/>
          <w:sz w:val="15"/>
        </w:rPr>
        <w:t>total_orders = len(clean_delivery_analysis)</w:t>
      </w:r>
      <w:r>
        <w:br/>
      </w:r>
      <w:r>
        <w:rPr>
          <w:rFonts w:ascii="Consolas" w:hAnsi="Consolas"/>
          <w:sz w:val="15"/>
        </w:rPr>
        <w:t>on_time_orders = status_counts["On Time"]</w:t>
      </w:r>
      <w:r>
        <w:br/>
      </w:r>
      <w:r>
        <w:rPr>
          <w:rFonts w:ascii="Consolas" w:hAnsi="Consolas"/>
          <w:sz w:val="15"/>
        </w:rPr>
        <w:t>delayed_orders = status_counts["Delayed"]</w:t>
      </w:r>
      <w:r>
        <w:br/>
      </w:r>
      <w:r>
        <w:rPr>
          <w:rFonts w:ascii="Consolas" w:hAnsi="Consolas"/>
          <w:sz w:val="15"/>
        </w:rPr>
      </w:r>
      <w:r>
        <w:br/>
      </w:r>
      <w:r>
        <w:rPr>
          <w:rFonts w:ascii="Consolas" w:hAnsi="Consolas"/>
          <w:sz w:val="15"/>
        </w:rPr>
        <w:t>on_time_rate = on_time_orders / total_orders * 100</w:t>
      </w:r>
      <w:r>
        <w:br/>
      </w:r>
      <w:r>
        <w:rPr>
          <w:rFonts w:ascii="Consolas" w:hAnsi="Consolas"/>
          <w:sz w:val="15"/>
        </w:rPr>
        <w:t>delay_rate = delayed_orders / total_orders * 100</w:t>
      </w:r>
    </w:p>
    <w:p>
      <w:pPr>
        <w:spacing w:before="40" w:after="40"/>
      </w:pPr>
      <w:r>
        <w:rPr>
          <w:rFonts w:ascii="Times New Roman" w:hAnsi="Times New Roman"/>
          <w:b/>
          <w:sz w:val="22"/>
        </w:rPr>
        <w:t>Step 3: Compare actual and estimated delivery time</w:t>
      </w:r>
    </w:p>
    <w:p>
      <w:pPr>
        <w:pStyle w:val="NoSpacing"/>
        <w:spacing w:after="60"/>
      </w:pPr>
      <w:r>
        <w:rPr>
          <w:rFonts w:ascii="Consolas" w:hAnsi="Consolas"/>
          <w:sz w:val="15"/>
        </w:rPr>
        <w:t>avg_actual_delivery = clean_delivery_analysis["actual_delivery_days"].mean()</w:t>
      </w:r>
      <w:r>
        <w:br/>
      </w:r>
      <w:r>
        <w:rPr>
          <w:rFonts w:ascii="Consolas" w:hAnsi="Consolas"/>
          <w:sz w:val="15"/>
        </w:rPr>
        <w:t>avg_estimated_delivery = clean_delivery_analysis["estimated_delivery_days"].mean()</w:t>
      </w:r>
      <w:r>
        <w:br/>
      </w:r>
      <w:r>
        <w:rPr>
          <w:rFonts w:ascii="Consolas" w:hAnsi="Consolas"/>
          <w:sz w:val="15"/>
        </w:rPr>
      </w:r>
      <w:r>
        <w:br/>
      </w:r>
      <w:r>
        <w:rPr>
          <w:rFonts w:ascii="Consolas" w:hAnsi="Consolas"/>
          <w:sz w:val="15"/>
        </w:rPr>
        <w:t>average_delivery_gap = avg_actual_delivery - avg_estimated_delivery</w:t>
      </w:r>
    </w:p>
    <w:p>
      <w:pPr>
        <w:spacing w:before="40" w:after="40"/>
      </w:pPr>
      <w:r>
        <w:rPr>
          <w:rFonts w:ascii="Times New Roman" w:hAnsi="Times New Roman"/>
          <w:b/>
          <w:sz w:val="22"/>
        </w:rPr>
        <w:t>Step 4: Analyze delay patterns</w:t>
      </w:r>
    </w:p>
    <w:p>
      <w:pPr>
        <w:pStyle w:val="NoSpacing"/>
        <w:spacing w:after="60"/>
      </w:pPr>
      <w:r>
        <w:rPr>
          <w:rFonts w:ascii="Consolas" w:hAnsi="Consolas"/>
          <w:sz w:val="15"/>
        </w:rPr>
        <w:t>def delay_rate_by_group(data, group_column):</w:t>
      </w:r>
      <w:r>
        <w:br/>
      </w:r>
      <w:r>
        <w:rPr>
          <w:rFonts w:ascii="Consolas" w:hAnsi="Consolas"/>
          <w:sz w:val="15"/>
        </w:rPr>
        <w:t xml:space="preserve">    return (</w:t>
      </w:r>
      <w:r>
        <w:br/>
      </w:r>
      <w:r>
        <w:rPr>
          <w:rFonts w:ascii="Consolas" w:hAnsi="Consolas"/>
          <w:sz w:val="15"/>
        </w:rPr>
        <w:t xml:space="preserve">        data.groupby(group_column)["delivery_performance"]</w:t>
      </w:r>
      <w:r>
        <w:br/>
      </w:r>
      <w:r>
        <w:rPr>
          <w:rFonts w:ascii="Consolas" w:hAnsi="Consolas"/>
          <w:sz w:val="15"/>
        </w:rPr>
        <w:t xml:space="preserve">        .apply(lambda x: (x == "Delayed").mean() * 100)</w:t>
      </w:r>
      <w:r>
        <w:br/>
      </w:r>
      <w:r>
        <w:rPr>
          <w:rFonts w:ascii="Consolas" w:hAnsi="Consolas"/>
          <w:sz w:val="15"/>
        </w:rPr>
        <w:t xml:space="preserve">        .sort_values(ascending=False)</w:t>
      </w:r>
      <w:r>
        <w:br/>
      </w:r>
      <w:r>
        <w:rPr>
          <w:rFonts w:ascii="Consolas" w:hAnsi="Consolas"/>
          <w:sz w:val="15"/>
        </w:rPr>
        <w:t xml:space="preserve">    )</w:t>
      </w:r>
      <w:r>
        <w:br/>
      </w:r>
      <w:r>
        <w:rPr>
          <w:rFonts w:ascii="Consolas" w:hAnsi="Consolas"/>
          <w:sz w:val="15"/>
        </w:rPr>
      </w:r>
      <w:r>
        <w:br/>
      </w:r>
      <w:r>
        <w:rPr>
          <w:rFonts w:ascii="Consolas" w:hAnsi="Consolas"/>
          <w:sz w:val="15"/>
        </w:rPr>
        <w:t>monthly_delay_rate = delay_rate_by_group(clean_delivery_analysis, "purchase_month")</w:t>
      </w:r>
      <w:r>
        <w:br/>
      </w:r>
      <w:r>
        <w:rPr>
          <w:rFonts w:ascii="Consolas" w:hAnsi="Consolas"/>
          <w:sz w:val="15"/>
        </w:rPr>
        <w:t>state_delay_rate = delay_rate_by_group(clean_delivery_analysis, "customer_state")</w:t>
      </w:r>
      <w:r>
        <w:br/>
      </w:r>
      <w:r>
        <w:rPr>
          <w:rFonts w:ascii="Consolas" w:hAnsi="Consolas"/>
          <w:sz w:val="15"/>
        </w:rPr>
        <w:t>category_delay_rate = delay_rate_by_group(category_data, "product_category_name")</w:t>
      </w:r>
    </w:p>
    <w:p>
      <w:pPr>
        <w:spacing w:before="40" w:after="40"/>
      </w:pPr>
      <w:r>
        <w:rPr>
          <w:rFonts w:ascii="Times New Roman" w:hAnsi="Times New Roman"/>
          <w:b/>
          <w:sz w:val="22"/>
        </w:rPr>
        <w:t>Step 5: Identify extreme delays</w:t>
      </w:r>
    </w:p>
    <w:p>
      <w:pPr>
        <w:pStyle w:val="NoSpacing"/>
        <w:spacing w:after="60"/>
      </w:pPr>
      <w:r>
        <w:rPr>
          <w:rFonts w:ascii="Consolas" w:hAnsi="Consolas"/>
          <w:sz w:val="15"/>
        </w:rPr>
        <w:t>extreme_delays = clean_delivery_analysis[</w:t>
      </w:r>
      <w:r>
        <w:br/>
      </w:r>
      <w:r>
        <w:rPr>
          <w:rFonts w:ascii="Consolas" w:hAnsi="Consolas"/>
          <w:sz w:val="15"/>
        </w:rPr>
        <w:t xml:space="preserve">    clean_delivery_analysis["delay_days"] &gt;= 20</w:t>
      </w:r>
      <w:r>
        <w:br/>
      </w:r>
      <w:r>
        <w:rPr>
          <w:rFonts w:ascii="Consolas" w:hAnsi="Consolas"/>
          <w:sz w:val="15"/>
        </w:rPr>
        <w:t>]</w:t>
      </w:r>
      <w:r>
        <w:br/>
      </w:r>
      <w:r>
        <w:rPr>
          <w:rFonts w:ascii="Consolas" w:hAnsi="Consolas"/>
          <w:sz w:val="15"/>
        </w:rPr>
      </w:r>
      <w:r>
        <w:br/>
      </w:r>
      <w:r>
        <w:rPr>
          <w:rFonts w:ascii="Consolas" w:hAnsi="Consolas"/>
          <w:sz w:val="15"/>
        </w:rPr>
        <w:t>extreme_delay_by_month = extreme_delays.groupby("purchase_month").size()</w:t>
      </w:r>
      <w:r>
        <w:br/>
      </w:r>
      <w:r>
        <w:rPr>
          <w:rFonts w:ascii="Consolas" w:hAnsi="Consolas"/>
          <w:sz w:val="15"/>
        </w:rPr>
        <w:t>extreme_delay_by_month = extreme_delay_by_month.sort_values(ascending=False)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before="40"/>
      <w:ind w:left="461"/>
    </w:pPr>
    <w:rPr>
      <w:rFonts w:ascii="Consolas" w:hAnsi="Consolas"/>
      <w:sz w:val="17"/>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