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dTable4-Accent4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2854"/>
        <w:gridCol w:w="3634"/>
        <w:gridCol w:w="3264"/>
      </w:tblGrid>
      <w:tr w:rsidR="00DA0827" w:rsidRPr="004C01D6" w:rsidTr="00DA08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DA0827" w:rsidRDefault="00DA0827" w:rsidP="004C01D6">
            <w:pPr>
              <w:jc w:val="center"/>
              <w:rPr>
                <w:rFonts w:eastAsia="Times New Roman" w:cstheme="minorHAnsi"/>
                <w:sz w:val="24"/>
                <w:szCs w:val="24"/>
              </w:rPr>
            </w:pPr>
            <w:bookmarkStart w:id="0" w:name="_GoBack"/>
            <w:bookmarkEnd w:id="0"/>
            <w:r w:rsidRPr="00DA0827">
              <w:rPr>
                <w:rFonts w:eastAsia="Times New Roman" w:cstheme="minorHAnsi"/>
                <w:sz w:val="24"/>
                <w:szCs w:val="24"/>
              </w:rPr>
              <w:t>Sr. No.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>Method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>Use / Description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>Code Example with Arguments</w:t>
            </w:r>
          </w:p>
        </w:tc>
      </w:tr>
      <w:tr w:rsidR="00DA0827" w:rsidRPr="004C01D6" w:rsidTr="00DA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1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click(double x, double y)</w:t>
            </w:r>
            <w:r w:rsidRPr="004C01D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click(double x, double y, 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Mouse.ClickOptions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options)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 xml:space="preserve">Moves the cursor to the specified coordinates and clicks. It is a shortcut sequence for </w:t>
            </w:r>
            <w:proofErr w:type="gramStart"/>
            <w:r w:rsidRPr="004C01D6">
              <w:rPr>
                <w:rFonts w:eastAsia="Times New Roman" w:cstheme="minorHAnsi"/>
                <w:sz w:val="24"/>
                <w:szCs w:val="24"/>
              </w:rPr>
              <w:t>move(</w:t>
            </w:r>
            <w:proofErr w:type="gramEnd"/>
            <w:r w:rsidRPr="004C01D6">
              <w:rPr>
                <w:rFonts w:eastAsia="Times New Roman" w:cstheme="minorHAnsi"/>
                <w:sz w:val="24"/>
                <w:szCs w:val="24"/>
              </w:rPr>
              <w:t>), down(), and up().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().click(150, 250);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().click(150, 250, new Mouse.ClickOptions().setButton(MouseButton.RIGHT).setClickCount(1).setDelay(500));</w:t>
            </w:r>
          </w:p>
        </w:tc>
      </w:tr>
      <w:tr w:rsidR="00DA0827" w:rsidRPr="004C01D6" w:rsidTr="00DA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2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dblclick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(double x, double y)</w:t>
            </w:r>
            <w:r w:rsidRPr="004C01D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dblclick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(double x, double y, 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Mouse.DblclickOptions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options)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 xml:space="preserve">Moves the cursor to the coordinates and performs </w:t>
            </w:r>
            <w:proofErr w:type="gramStart"/>
            <w:r w:rsidRPr="004C01D6">
              <w:rPr>
                <w:rFonts w:eastAsia="Times New Roman" w:cstheme="minorHAnsi"/>
                <w:sz w:val="24"/>
                <w:szCs w:val="24"/>
              </w:rPr>
              <w:t>a double-click</w:t>
            </w:r>
            <w:proofErr w:type="gram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. It is a shortcut sequence for </w:t>
            </w:r>
            <w:proofErr w:type="gramStart"/>
            <w:r w:rsidRPr="004C01D6">
              <w:rPr>
                <w:rFonts w:eastAsia="Times New Roman" w:cstheme="minorHAnsi"/>
                <w:sz w:val="24"/>
                <w:szCs w:val="24"/>
              </w:rPr>
              <w:t>move(</w:t>
            </w:r>
            <w:proofErr w:type="gramEnd"/>
            <w:r w:rsidRPr="004C01D6">
              <w:rPr>
                <w:rFonts w:eastAsia="Times New Roman" w:cstheme="minorHAnsi"/>
                <w:sz w:val="24"/>
                <w:szCs w:val="24"/>
              </w:rPr>
              <w:t>), down(), up(), down(), and up().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dblclick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(300, 400);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dblclick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(300, 400, new Mouse.DblclickOptions().setButton(MouseButton.LEFT).setDelay(100));</w:t>
            </w:r>
          </w:p>
        </w:tc>
      </w:tr>
      <w:tr w:rsidR="00DA0827" w:rsidRPr="004C01D6" w:rsidTr="00DA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3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move(double x, double y)</w:t>
            </w:r>
            <w:r w:rsidRPr="004C01D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move(double x, double y, 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Mouse.MoveOptions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options)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 xml:space="preserve">Dispatches a 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mousemove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 event to move the cursor to the exact coordinates specified.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page.mouse.move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(500, 600);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().move(500, 600, new 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Mouse.MoveOptions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setSteps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(5));</w:t>
            </w:r>
          </w:p>
        </w:tc>
      </w:tr>
      <w:tr w:rsidR="00DA0827" w:rsidRPr="004C01D6" w:rsidTr="00DA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4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down()</w:t>
            </w:r>
            <w:r w:rsidRPr="004C01D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down(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Mouse.DownOptions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options)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 xml:space="preserve">Dispatches a 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mousedown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 event at the current cursor position. Extremely useful for starting drag-and-drop or click-and-hold actions.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().down();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().down(new Mouse.DownOptions().setButton(MouseButton.LEFT).setClickCount(1));</w:t>
            </w:r>
          </w:p>
        </w:tc>
      </w:tr>
      <w:tr w:rsidR="00DA0827" w:rsidRPr="004C01D6" w:rsidTr="00DA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5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up()</w:t>
            </w:r>
            <w:r w:rsidRPr="004C01D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up(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Mouse.UpOptions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options)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 xml:space="preserve">Dispatches a 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mouseup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 event at the current cursor position. This releases a mouse button that was previously held down.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().up();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 xml:space="preserve">().up(new 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Mouse.UpOptions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setButton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MouseButton.LEFT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).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setClickCount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(1));</w:t>
            </w:r>
          </w:p>
        </w:tc>
      </w:tr>
      <w:tr w:rsidR="00DA0827" w:rsidRPr="004C01D6" w:rsidTr="00DA08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4" w:type="dxa"/>
          </w:tcPr>
          <w:p w:rsidR="00DA0827" w:rsidRPr="004C01D6" w:rsidRDefault="00DA0827" w:rsidP="004C01D6">
            <w:pP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</w:pPr>
            <w:r>
              <w:rPr>
                <w:rFonts w:eastAsia="Times New Roman" w:cstheme="minorHAnsi"/>
                <w:b w:val="0"/>
                <w:bCs w:val="0"/>
                <w:sz w:val="24"/>
                <w:szCs w:val="24"/>
              </w:rPr>
              <w:t>6</w:t>
            </w:r>
          </w:p>
        </w:tc>
        <w:tc>
          <w:tcPr>
            <w:tcW w:w="285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wheel(double 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deltaX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, double </w:t>
            </w:r>
            <w:proofErr w:type="spellStart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deltaY</w:t>
            </w:r>
            <w:proofErr w:type="spellEnd"/>
            <w:r w:rsidRPr="004C01D6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363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r w:rsidRPr="004C01D6">
              <w:rPr>
                <w:rFonts w:eastAsia="Times New Roman" w:cstheme="minorHAnsi"/>
                <w:sz w:val="24"/>
                <w:szCs w:val="24"/>
              </w:rPr>
              <w:t>Dispatches a wheel event to scroll horizontally (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deltaX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) or vertically (</w:t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deltaY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) by a specific pixel amount.</w:t>
            </w:r>
          </w:p>
        </w:tc>
        <w:tc>
          <w:tcPr>
            <w:tcW w:w="3264" w:type="dxa"/>
            <w:hideMark/>
          </w:tcPr>
          <w:p w:rsidR="00DA0827" w:rsidRPr="004C01D6" w:rsidRDefault="00DA0827" w:rsidP="004C01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().wheel(0, 400); // Scrolls down 400 pixels</w:t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r w:rsidRPr="004C01D6">
              <w:rPr>
                <w:rFonts w:eastAsia="Times New Roman" w:cstheme="minorHAnsi"/>
                <w:sz w:val="24"/>
                <w:szCs w:val="24"/>
              </w:rPr>
              <w:br/>
            </w:r>
            <w:proofErr w:type="spellStart"/>
            <w:r w:rsidRPr="004C01D6">
              <w:rPr>
                <w:rFonts w:eastAsia="Times New Roman" w:cstheme="minorHAnsi"/>
                <w:sz w:val="24"/>
                <w:szCs w:val="24"/>
              </w:rPr>
              <w:t>page.mouse</w:t>
            </w:r>
            <w:proofErr w:type="spellEnd"/>
            <w:r w:rsidRPr="004C01D6">
              <w:rPr>
                <w:rFonts w:eastAsia="Times New Roman" w:cstheme="minorHAnsi"/>
                <w:sz w:val="24"/>
                <w:szCs w:val="24"/>
              </w:rPr>
              <w:t>().wheel(200, 0); // Scrolls right 2</w:t>
            </w:r>
          </w:p>
        </w:tc>
      </w:tr>
    </w:tbl>
    <w:p w:rsidR="00E078E3" w:rsidRDefault="00127268"/>
    <w:sectPr w:rsidR="00E078E3" w:rsidSect="00F07EFD">
      <w:headerReference w:type="default" r:id="rId6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27268" w:rsidRDefault="00127268" w:rsidP="00F07EFD">
      <w:pPr>
        <w:spacing w:after="0" w:line="240" w:lineRule="auto"/>
      </w:pPr>
      <w:r>
        <w:separator/>
      </w:r>
    </w:p>
  </w:endnote>
  <w:endnote w:type="continuationSeparator" w:id="0">
    <w:p w:rsidR="00127268" w:rsidRDefault="00127268" w:rsidP="00F07E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27268" w:rsidRDefault="00127268" w:rsidP="00F07EFD">
      <w:pPr>
        <w:spacing w:after="0" w:line="240" w:lineRule="auto"/>
      </w:pPr>
      <w:r>
        <w:separator/>
      </w:r>
    </w:p>
  </w:footnote>
  <w:footnote w:type="continuationSeparator" w:id="0">
    <w:p w:rsidR="00127268" w:rsidRDefault="00127268" w:rsidP="00F07E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07EFD" w:rsidRPr="00F07EFD" w:rsidRDefault="00F07EFD" w:rsidP="00F07EFD">
    <w:pPr>
      <w:pStyle w:val="Header"/>
      <w:jc w:val="center"/>
      <w:rPr>
        <w:b/>
        <w:bCs/>
        <w:sz w:val="40"/>
        <w:szCs w:val="40"/>
      </w:rPr>
    </w:pPr>
    <w:r w:rsidRPr="00F07EFD">
      <w:rPr>
        <w:b/>
        <w:bCs/>
        <w:sz w:val="40"/>
        <w:szCs w:val="40"/>
      </w:rPr>
      <w:t>Playwright Mouse Event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EFD"/>
    <w:rsid w:val="000D13FE"/>
    <w:rsid w:val="00127268"/>
    <w:rsid w:val="004C01D6"/>
    <w:rsid w:val="007F453B"/>
    <w:rsid w:val="00DA0827"/>
    <w:rsid w:val="00F0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D74DBB5-1DAF-433B-AD37-D0BFAB9D7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7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EFD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F07E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EFD"/>
    <w:rPr>
      <w:rFonts w:cs="Mangal"/>
    </w:rPr>
  </w:style>
  <w:style w:type="character" w:styleId="HTMLCode">
    <w:name w:val="HTML Code"/>
    <w:basedOn w:val="DefaultParagraphFont"/>
    <w:uiPriority w:val="99"/>
    <w:semiHidden/>
    <w:unhideWhenUsed/>
    <w:rsid w:val="004C01D6"/>
    <w:rPr>
      <w:rFonts w:ascii="Courier New" w:eastAsia="Times New Roman" w:hAnsi="Courier New" w:cs="Courier New"/>
      <w:sz w:val="20"/>
      <w:szCs w:val="20"/>
    </w:rPr>
  </w:style>
  <w:style w:type="table" w:styleId="GridTable4-Accent4">
    <w:name w:val="Grid Table 4 Accent 4"/>
    <w:basedOn w:val="TableNormal"/>
    <w:uiPriority w:val="49"/>
    <w:rsid w:val="004C01D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04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2026-10-12T13:25:00Z</dcterms:created>
  <dcterms:modified xsi:type="dcterms:W3CDTF">2026-10-12T13:37:00Z</dcterms:modified>
</cp:coreProperties>
</file>