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534" w:rsidRPr="00B703BD" w:rsidRDefault="00086534" w:rsidP="00086534">
      <w:pPr>
        <w:spacing w:line="480" w:lineRule="auto"/>
        <w:jc w:val="both"/>
        <w:rPr>
          <w:rFonts w:ascii="Times New Roman" w:hAnsi="Times New Roman" w:cs="Times New Roman"/>
          <w:sz w:val="24"/>
          <w:szCs w:val="24"/>
        </w:rPr>
      </w:pPr>
      <w:proofErr w:type="spellStart"/>
      <w:r w:rsidRPr="00B703BD">
        <w:rPr>
          <w:rFonts w:ascii="Times New Roman" w:hAnsi="Times New Roman" w:cs="Times New Roman"/>
          <w:sz w:val="24"/>
          <w:szCs w:val="24"/>
        </w:rPr>
        <w:t>Am</w:t>
      </w:r>
      <w:r>
        <w:rPr>
          <w:rFonts w:ascii="Times New Roman" w:hAnsi="Times New Roman" w:cs="Times New Roman"/>
          <w:sz w:val="24"/>
          <w:szCs w:val="24"/>
        </w:rPr>
        <w:t>i</w:t>
      </w:r>
      <w:r w:rsidR="002E779E">
        <w:rPr>
          <w:rFonts w:ascii="Times New Roman" w:hAnsi="Times New Roman" w:cs="Times New Roman"/>
          <w:sz w:val="24"/>
          <w:szCs w:val="24"/>
        </w:rPr>
        <w:t>n</w:t>
      </w:r>
      <w:proofErr w:type="spellEnd"/>
      <w:r w:rsidR="002E779E">
        <w:rPr>
          <w:rFonts w:ascii="Times New Roman" w:hAnsi="Times New Roman" w:cs="Times New Roman"/>
          <w:sz w:val="24"/>
          <w:szCs w:val="24"/>
        </w:rPr>
        <w:t xml:space="preserve"> </w:t>
      </w:r>
      <w:proofErr w:type="spellStart"/>
      <w:r w:rsidR="002E779E">
        <w:rPr>
          <w:rFonts w:ascii="Times New Roman" w:hAnsi="Times New Roman" w:cs="Times New Roman"/>
          <w:sz w:val="24"/>
          <w:szCs w:val="24"/>
        </w:rPr>
        <w:t>Mahmoudzadeh</w:t>
      </w:r>
      <w:proofErr w:type="spellEnd"/>
      <w:r w:rsidR="002E779E">
        <w:rPr>
          <w:rFonts w:ascii="Times New Roman" w:hAnsi="Times New Roman" w:cs="Times New Roman"/>
          <w:sz w:val="24"/>
          <w:szCs w:val="24"/>
        </w:rPr>
        <w:t xml:space="preserve"> </w:t>
      </w:r>
      <w:proofErr w:type="spellStart"/>
      <w:r w:rsidR="002E779E">
        <w:rPr>
          <w:rFonts w:ascii="Times New Roman" w:hAnsi="Times New Roman" w:cs="Times New Roman"/>
          <w:sz w:val="24"/>
          <w:szCs w:val="24"/>
        </w:rPr>
        <w:t>Andwari</w:t>
      </w:r>
      <w:proofErr w:type="spellEnd"/>
      <w:r w:rsidR="002E779E">
        <w:rPr>
          <w:rFonts w:ascii="Times New Roman" w:hAnsi="Times New Roman" w:cs="Times New Roman"/>
          <w:sz w:val="24"/>
          <w:szCs w:val="24"/>
        </w:rPr>
        <w:t xml:space="preserve"> et al [27</w:t>
      </w:r>
      <w:r w:rsidRPr="00B703BD">
        <w:rPr>
          <w:rFonts w:ascii="Times New Roman" w:hAnsi="Times New Roman" w:cs="Times New Roman"/>
          <w:sz w:val="24"/>
          <w:szCs w:val="24"/>
        </w:rPr>
        <w:t xml:space="preserve">] A trial investigate is performed to dissect the effect of using EGR techniques, comprising of Internal and External EGR, on ignition fizzling predominance, burning parity and fumes discharges utilizing a solitary chamber - stroke SI motor at sitting, low and mid-load circumstances. From the outcomes, it is found for the explanation that normal in-chamber temperature is </w:t>
      </w:r>
      <w:proofErr w:type="gramStart"/>
      <w:r w:rsidRPr="00B703BD">
        <w:rPr>
          <w:rFonts w:ascii="Times New Roman" w:hAnsi="Times New Roman" w:cs="Times New Roman"/>
          <w:sz w:val="24"/>
          <w:szCs w:val="24"/>
        </w:rPr>
        <w:t>expanded ,</w:t>
      </w:r>
      <w:proofErr w:type="gramEnd"/>
      <w:r w:rsidRPr="00B703BD">
        <w:rPr>
          <w:rFonts w:ascii="Times New Roman" w:hAnsi="Times New Roman" w:cs="Times New Roman"/>
          <w:sz w:val="24"/>
          <w:szCs w:val="24"/>
        </w:rPr>
        <w:t xml:space="preserve"> due to utilizing EGRs, motor's low and mid-load anomalous burnings (failure to discharge) and fumes outflows are strikingly </w:t>
      </w:r>
      <w:proofErr w:type="spellStart"/>
      <w:r w:rsidRPr="00B703BD">
        <w:rPr>
          <w:rFonts w:ascii="Times New Roman" w:hAnsi="Times New Roman" w:cs="Times New Roman"/>
          <w:sz w:val="24"/>
          <w:szCs w:val="24"/>
        </w:rPr>
        <w:t>supressed</w:t>
      </w:r>
      <w:proofErr w:type="spellEnd"/>
      <w:r w:rsidRPr="00B703BD">
        <w:rPr>
          <w:rFonts w:ascii="Times New Roman" w:hAnsi="Times New Roman" w:cs="Times New Roman"/>
          <w:sz w:val="24"/>
          <w:szCs w:val="24"/>
        </w:rPr>
        <w:t xml:space="preserve"> and practically all of fizzle cycles wiped out contingent upon the extent of EGRs. </w:t>
      </w:r>
    </w:p>
    <w:p w:rsidR="00086534" w:rsidRPr="00B703BD" w:rsidRDefault="002E779E" w:rsidP="0008653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Ravikumar</w:t>
      </w:r>
      <w:proofErr w:type="spellEnd"/>
      <w:r>
        <w:rPr>
          <w:rFonts w:ascii="Times New Roman" w:hAnsi="Times New Roman" w:cs="Times New Roman"/>
          <w:sz w:val="24"/>
          <w:szCs w:val="24"/>
        </w:rPr>
        <w:t xml:space="preserve"> M et al [28</w:t>
      </w:r>
      <w:r w:rsidR="00086534" w:rsidRPr="00B703BD">
        <w:rPr>
          <w:rFonts w:ascii="Times New Roman" w:hAnsi="Times New Roman" w:cs="Times New Roman"/>
          <w:sz w:val="24"/>
          <w:szCs w:val="24"/>
        </w:rPr>
        <w:t xml:space="preserve">], </w:t>
      </w:r>
      <w:proofErr w:type="gramStart"/>
      <w:r w:rsidR="00086534" w:rsidRPr="00B703BD">
        <w:rPr>
          <w:rFonts w:ascii="Times New Roman" w:hAnsi="Times New Roman" w:cs="Times New Roman"/>
          <w:sz w:val="24"/>
          <w:szCs w:val="24"/>
        </w:rPr>
        <w:t>To</w:t>
      </w:r>
      <w:proofErr w:type="gramEnd"/>
      <w:r w:rsidR="00086534" w:rsidRPr="00B703BD">
        <w:rPr>
          <w:rFonts w:ascii="Times New Roman" w:hAnsi="Times New Roman" w:cs="Times New Roman"/>
          <w:sz w:val="24"/>
          <w:szCs w:val="24"/>
        </w:rPr>
        <w:t xml:space="preserve"> diminish the searching issues by building up another model of two-stroke sparkle start motor. This adaptation permits a progression of clean air through admission valves situated at the most reduced of the chamber and leave consumed gases by means of fumes ports arranged at the highest point of chamber. The fumes ports are shut by utilizing the cylinder as it moves towards to base of the chamber following which gas is infused limiting the </w:t>
      </w:r>
      <w:proofErr w:type="gramStart"/>
      <w:r w:rsidR="00086534" w:rsidRPr="00B703BD">
        <w:rPr>
          <w:rFonts w:ascii="Times New Roman" w:hAnsi="Times New Roman" w:cs="Times New Roman"/>
          <w:sz w:val="24"/>
          <w:szCs w:val="24"/>
        </w:rPr>
        <w:t>plausibility</w:t>
      </w:r>
      <w:proofErr w:type="gramEnd"/>
      <w:r w:rsidR="00086534" w:rsidRPr="00B703BD">
        <w:rPr>
          <w:rFonts w:ascii="Times New Roman" w:hAnsi="Times New Roman" w:cs="Times New Roman"/>
          <w:sz w:val="24"/>
          <w:szCs w:val="24"/>
        </w:rPr>
        <w:t xml:space="preserve"> of blending of fuel with active fumes gases. </w:t>
      </w:r>
    </w:p>
    <w:p w:rsidR="00D324D3" w:rsidRDefault="00D324D3"/>
    <w:sectPr w:rsidR="00D324D3" w:rsidSect="00D32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57152"/>
    <w:rsid w:val="00086534"/>
    <w:rsid w:val="002E779E"/>
    <w:rsid w:val="00557152"/>
    <w:rsid w:val="00A33B02"/>
    <w:rsid w:val="00D32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2020-01-10T14:48:00Z</dcterms:created>
  <dcterms:modified xsi:type="dcterms:W3CDTF">2020-01-10T15:09:00Z</dcterms:modified>
</cp:coreProperties>
</file>