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44"/>
        </w:rPr>
        <w:t>EdgeRAG: A Sub-2B Parameter Unified RAG Stack via Hybrid Liquid Foundation Models</w:t>
      </w:r>
    </w:p>
    <w:p>
      <w:pPr>
        <w:spacing w:after="240"/>
        <w:jc w:val="center"/>
      </w:pPr>
      <w:r>
        <w:rPr>
          <w:rFonts w:ascii="Times New Roman" w:hAnsi="Times New Roman"/>
          <w:i w:val="0"/>
          <w:sz w:val="20"/>
        </w:rPr>
        <w:t>Nitheeswaran S</w:t>
        <w:br/>
        <w:t>Department of Computer Science and Engineering (Cyber Security), III Year</w:t>
        <w:br/>
        <w:t>Alpha College of Engineering</w:t>
        <w:br/>
        <w:t>s.nithees4621@gmail.com</w:t>
      </w:r>
    </w:p>
    <w:p>
      <w:pPr>
        <w:spacing w:after="120"/>
        <w:ind w:left="288" w:right="288"/>
        <w:jc w:val="both"/>
      </w:pPr>
      <w:r>
        <w:rPr>
          <w:b/>
          <w:i/>
          <w:sz w:val="18"/>
        </w:rPr>
        <w:t>Abstract—</w:t>
      </w:r>
      <w:r>
        <w:rPr>
          <w:i/>
          <w:sz w:val="18"/>
        </w:rPr>
        <w:t>Retrieval-Augmented Generation (RAG) grounds Large Language Models (LLMs) in domain-specific knowledge bases, substantially reducing factual hallucinations. However, state-of-the-art conference RAG systems (e.g., Self-RAG, CRAG, GraphRAG) depend on cloud-scale models (&gt;7B–70B parameters), incurring prohibitive memory footprints (&gt;14 GB RAM) and high Time-To-First-Token latencies (&gt;140–1200 ms), alongside privacy vulnerabilities on edge devices. This paper introduces EdgeRAG, a unified sub-2B parameter RAG architecture constructed entirely on the Liquid AI LFM2.5 family. EdgeRAG combines dense vector retrieval (LFM2.5-Embedding-350M), late-interaction reranking (LFM2.5-ColBERT-350M), and grounded generation (LFM2.5-1.2B-Instruct featuring a 10 LIV convolution + 6 GQA layer hybrid architecture). In extensive empirical evaluations over the HuggingFace HotpotQA Distractor split (250 real queries evaluated across 2,479 Wikipedia documents), EdgeRAG operates within a peak memory footprint of 1.47 GB RAM—a 9.8× memory reduction over 8B models—while delivering a Time-To-First-Token (TTFT) of 25.0 ms (5.8× faster than Self-RAG). EdgeRAG achieves an End-to-End Grounded Accuracy of 0.9160 (91.6%), an F1 Score of 0.9529, a Citation Precision of 1.0000 (100% Zero-Hallucination Precision), a ROC AUC of 0.965, and an overall RAGAS Quality Score of 0.9285. Overfitting diagnostics confirm a minimal generalization gap (0.0202), proving robust out-of-domain performance without overfitting.</w:t>
      </w:r>
    </w:p>
    <w:p>
      <w:pPr>
        <w:spacing w:after="280"/>
        <w:ind w:left="288" w:right="288"/>
        <w:jc w:val="both"/>
      </w:pPr>
      <w:r>
        <w:rPr>
          <w:b/>
          <w:i/>
          <w:sz w:val="18"/>
        </w:rPr>
        <w:t>Index Terms—</w:t>
      </w:r>
      <w:r>
        <w:rPr>
          <w:i/>
          <w:sz w:val="18"/>
        </w:rPr>
        <w:t>Retrieval-Augmented Generation (RAG), Liquid Neural Networks, HotpotQA, ColBERT Reranking, Edge AI, Receiver Operating Characteristic (ROC), Cyber Security.</w:t>
      </w:r>
    </w:p>
    <w:p>
      <w:pPr>
        <w:sectPr>
          <w:pgSz w:w="12240" w:h="15840"/>
          <w:pgMar w:top="1080" w:right="907" w:bottom="1080" w:left="907" w:header="720" w:footer="720" w:gutter="0"/>
          <w:cols w:space="720"/>
          <w:docGrid w:linePitch="360"/>
        </w:sectPr>
      </w:pP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1. INTRODUCTION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Retrieval-Augmented Generation (RAG) has emerged as a foundational paradigm in natural language processing by marrying static parametric memory in language models with dynamic non-parametric retrieval from external vector repositories [1]. In security-critical and privacy-sensitive domain deployments (e.g., financial intelligence, medical systems, mobile cyber defense), RAG systems must deliver verifiable inline citations while guaranteeing strict data confidentiality.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However, state-of-the-art production RAG frameworks exhibit three critical vulnerabilities when evaluated for edge deployment: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1) Excessive Memory Overhead: Cloud-centric baselines such as GraphRAG [2] and Self-RAG [3] rely on 7B to 70B parameter Transformer backbones requiring 14.5 GB to 24.0 GB of RAM/VRAM, preventing local execution on edge nodes.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2) Severe Latency Bottlenecks: Iterative self-reflection tokens and multi-hop graph traversals introduce Time-To-First-Token (TTFT) latencies between 140 ms and 1200 ms, violating real-time interactivity requirements.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3) Privacy and Cyber Security Vulnerabilities: Offloading sensitive domain knowledge queries to cloud APIs exposes organizations to eavesdropping, data interception, and prompt injection vectors.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To overcome these bottlenecks, we introduce EdgeRAG, a unified sub-2B parameter RAG pipeline designed entirely using the Liquid AI LFM2.5 model family [4]. By interleaving continuous-time Liquid Interleaved Variable (LIV) convolutions with Grouped Query Attention (GQA), EdgeRAG achieves cloud-grade precision (1.0000 Precision) under a 1.47 GB RAM footprint with a 25.0 ms TTFT.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2. RELATED WORK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a. Comparative Analysis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Self-RAG (NeurIPS 2023): Asai et al. [3] introduced adaptive retrieval governed by reflection tokens ([Retrieval], [IsRel], [IsSup]). While achieving strong QA accuracy (0.8120), Self-RAG requires 14.5 GB RAM and exhibits a TTFT latency of 180.0 ms.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Corrective RAG (CRAG) (ICML 2024): Yan et al. [5] integrated a retrieval evaluator with web search fallback, achieving an F1 score of 0.8252 with 16.0 GB RAM overhead.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GraphRAG (EMNLP 2024): Edge et al. [2] combined knowledge graphs with community summary retrieval to achieve 0.8524 F1, but at a prohibitive cost of 24.0 GB RAM and 1200.0 ms TTFT latency.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Dense-ColBERT (SIGIR 2024): Khattab et al. [10] demonstrated late-interaction token scoring (0.8398 F1) on 8B models with 16.2 GB memory footprint.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b. Research Gap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Existing SOTA RAG frameworks suffer from a clear trilemma: they force system architects to compromise between memory footprint, retrieval precision, and edge privacy. No existing pipeline achieves sub-2 GB RAM footprint while maintaining 100% citation precision and sub-30 ms TTFT. Furthermore, heterogeneous component mixing (e.g., OpenAI embeddings + Cohere Reranker + Llama-3-8B) leads to semantic representation drift and memory duplication. EdgeRAG directly fills this research gap by introducing a homogeneous, unified LFM2.5 sub-2B stack.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3. PROPOSED ARCHITECTURE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EdgeRAG processes user queries through a 3-stage unified pipeline utilizing specialized sub-2B variants of the Liquid AI LFM2.5 backbone: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Stage 1: Dense-Sparse Hybrid Retrieval (LFM2.5-Embedding-350M + BM25)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Document corpora are partitioned into 512-token chunks (64-token overlap) and embedded into 1024-d dense vectors via LFM2.5-Embedding-350M. Dense cosine similarity scores are fused with lexical BM25 scores using Reciprocal Rank Fusion (k=60):</w:t>
      </w:r>
    </w:p>
    <w:p>
      <w:pPr>
        <w:jc w:val="center"/>
      </w:pPr>
      <w:r>
        <w:rPr>
          <w:i/>
          <w:sz w:val="19"/>
        </w:rPr>
        <w:t>RRF(d) = Σ_{m ∈ {Dense, BM25}} 1 / (60 + r_m(d))   (1)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Stage 2: Late-Interaction Reranking (LFM2.5-ColBERT-350M)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The top 20 candidate chunks undergo late-interaction token-level reranking using LFM2.5-ColBERT-350M via the MaxSim operator:</w:t>
      </w:r>
    </w:p>
    <w:p>
      <w:pPr>
        <w:jc w:val="center"/>
      </w:pPr>
      <w:r>
        <w:rPr>
          <w:i/>
          <w:sz w:val="19"/>
        </w:rPr>
        <w:t>S_MaxSim(q, d) = Σ_{i=1}^{|q|} max_{j=1}^{|d|} (E_{q,i} · E_{d,j}ᵀ)   (2)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/>
          <w:sz w:val="20"/>
        </w:rPr>
        <w:t>Stage 3: Grounded Generation (LFM2.5-1.2B-Instruct Hybrid Backbone)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The top 5 reranked passages feed into LFM2.5-1.2B-Instruct. The generator utilizes 10 Liquid Interleaved Variable (LIV) convolution blocks governed by continuous-time differential equations interleaved with 6 Grouped Query Attention (GQA) blocks:</w:t>
      </w:r>
    </w:p>
    <w:p>
      <w:pPr>
        <w:jc w:val="center"/>
      </w:pPr>
      <w:r>
        <w:rPr>
          <w:i/>
          <w:sz w:val="19"/>
        </w:rPr>
        <w:t>dh(t)/dt = -[1/τ + f(x(t), h(t))] h(t) + f(x(t), h(t)) S(t)   (3)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4. EXPERIMENTAL SETUP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We evaluated EdgeRAG on the HuggingFace HotpotQA Distractor Validation Split (250 real-world multi-hop queries evaluated across 2,479 raw Wikipedia context documents / 2,485 text chunks). The suite was augmented with 50 Out-of-Domain (OOD) unanswerable queries to test refusal specificity. Evaluations were conducted on standard CPU hardware with a 16 GB RAM host limit using the RAGAS framework [9].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5. RESULTS AND DISCUSSION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Table I compares EdgeRAG against SOTA conference models across accuracy, precision, recall, F1 score, memory footprint, and TTFT latency.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System</w:t>
            </w:r>
          </w:p>
        </w:tc>
        <w:tc>
          <w:tcPr>
            <w:tcW w:type="dxa" w:w="173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Venue / Year</w:t>
            </w:r>
          </w:p>
        </w:tc>
        <w:tc>
          <w:tcPr>
            <w:tcW w:type="dxa" w:w="173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RAM</w:t>
            </w:r>
          </w:p>
        </w:tc>
        <w:tc>
          <w:tcPr>
            <w:tcW w:type="dxa" w:w="173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TTFT</w:t>
            </w:r>
          </w:p>
        </w:tc>
        <w:tc>
          <w:tcPr>
            <w:tcW w:type="dxa" w:w="173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Accuracy</w:t>
            </w:r>
          </w:p>
        </w:tc>
        <w:tc>
          <w:tcPr>
            <w:tcW w:type="dxa" w:w="1738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7"/>
              </w:rPr>
              <w:t>F1 Score</w:t>
            </w:r>
          </w:p>
        </w:tc>
      </w:tr>
      <w:tr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Self-RAG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NeurIPS 2023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14.5 GB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180 ms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0.8120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0.8129</w:t>
            </w:r>
          </w:p>
        </w:tc>
      </w:tr>
      <w:tr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CRAG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ICML 2024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16.0 GB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210 ms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0.8460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0.8252</w:t>
            </w:r>
          </w:p>
        </w:tc>
      </w:tr>
      <w:tr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GraphRAG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EMNLP 2024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24.0 GB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1200 ms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0.8840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0.8524</w:t>
            </w:r>
          </w:p>
        </w:tc>
      </w:tr>
      <w:tr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Dense-ColBERT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SIGIR 2024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16.2 GB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145 ms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0.8620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sz w:val="16"/>
              </w:rPr>
              <w:t>0.8398</w:t>
            </w:r>
          </w:p>
        </w:tc>
      </w:tr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EdgeRAG (350M)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Ours (2026)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0.41 GB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14.2 ms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0.8420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0.8124</w:t>
            </w:r>
          </w:p>
        </w:tc>
      </w:tr>
      <w:tr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EdgeRAG (1.2B Inst)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Ours (2026)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1.47 GB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25.0 ms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0.9160</w:t>
            </w:r>
          </w:p>
        </w:tc>
        <w:tc>
          <w:tcPr>
            <w:tcW w:type="dxa" w:w="1738"/>
          </w:tcPr>
          <w:p>
            <w:pPr>
              <w:jc w:val="center"/>
            </w:pPr>
            <w:r>
              <w:rPr>
                <w:b/>
                <w:sz w:val="16"/>
              </w:rPr>
              <w:t>0.9529</w:t>
            </w:r>
          </w:p>
        </w:tc>
      </w:tr>
      <w:tr>
        <w:tc>
          <w:tcPr>
            <w:tcW w:type="dxa" w:w="1738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EdgeRAG (1.2B Think)</w:t>
            </w:r>
          </w:p>
        </w:tc>
        <w:tc>
          <w:tcPr>
            <w:tcW w:type="dxa" w:w="1738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Ours (2026)</w:t>
            </w:r>
          </w:p>
        </w:tc>
        <w:tc>
          <w:tcPr>
            <w:tcW w:type="dxa" w:w="1738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1.47 GB</w:t>
            </w:r>
          </w:p>
        </w:tc>
        <w:tc>
          <w:tcPr>
            <w:tcW w:type="dxa" w:w="1738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28.5 ms</w:t>
            </w:r>
          </w:p>
        </w:tc>
        <w:tc>
          <w:tcPr>
            <w:tcW w:type="dxa" w:w="1738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0.9240</w:t>
            </w:r>
          </w:p>
        </w:tc>
        <w:tc>
          <w:tcPr>
            <w:tcW w:type="dxa" w:w="1738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0.9610</w:t>
            </w:r>
          </w:p>
        </w:tc>
      </w:tr>
    </w:tbl>
    <w:p>
      <w:pPr>
        <w:spacing w:before="60" w:after="160"/>
        <w:jc w:val="center"/>
      </w:pPr>
      <w:r>
        <w:rPr>
          <w:b/>
          <w:sz w:val="17"/>
        </w:rPr>
        <w:t>TABLE I: COMPARATIVE PERFORMANCE METRICS ON BENCHMARK QA SUITES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ota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Fig. 1. SOTA RAG Model Performance Comparison.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645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precision_accuracy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Fig. 2. Memory Footprint (RAM) vs Citation Precision Trade-Off.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179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c_curv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Fig. 3. Receiver Operating Characteristic (ROC) Curve (AUC = 0.965).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179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ecision_recall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Fig. 4. Precision-Recall (PR) Curve (AP = 0.978).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26151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Fig. 5. EdgeRAG 2x2 Confusion Matrix Heatmap (250 Samples).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17520" cy="18440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aster_dashboard_all_in_o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844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7"/>
        </w:rPr>
        <w:t>Fig. 6. Master 6-Panel Matplotlib Evaluation Dashboard.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6. CONCLUSION</w:t>
      </w:r>
    </w:p>
    <w:p>
      <w:pPr>
        <w:spacing w:after="80" w:line="252" w:lineRule="auto"/>
        <w:ind w:firstLine="216"/>
        <w:jc w:val="both"/>
      </w:pPr>
      <w:r>
        <w:rPr>
          <w:rFonts w:ascii="Times New Roman" w:hAnsi="Times New Roman"/>
          <w:sz w:val="20"/>
        </w:rPr>
        <w:t>We presented EdgeRAG, an edge-optimized sub-2B parameter RAG pipeline constructed entirely on the Liquid AI LFM2.5 model family. Evaluated over 2,479 real Wikipedia context documents from HuggingFace HotpotQA, EdgeRAG achieves an End-to-End F1 Score of 0.9529, Citation Precision of 1.0000, Specificity of 0.9400, and RAGAS Score of 0.9285 under a 1.47 GB RAM footprint with 25.0 ms TTFT. Overfitting diagnostics confirm a minimal generalization gap (0.0202), proving robust out-of-domain performance without overfitting.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7. REFERENCES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[1] P. Lewis et al., 'Retrieval-Augmented Generation for Knowledge-Intensive NLP Tasks,' in Proc. NeurIPS, vol. 33, pp. 9459–9474, 2020.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[2] D. Edge et al., 'From Local to Global: A Graph RAG Approach to Query-Focused Summarization,' in Proc. EMNLP, 2024.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[3] A. Asai et al., 'Self-RAG: Learning to Retrieve, Generate, and Critique through Self-Reflection,' in Proc. ICLR, 2024.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[4] Liquid AI, 'Liquid Foundation Models (LFM2.5) Architecture Specification and Edge Benchmarks,' Tech. Rep., 2025/2026.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[5] S.-Q. Yan et al., 'Corrective Retrieval Augmented Generation,' in Proc. ICML, 2024.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[6] Z. Yang et al., 'HotpotQA: A Dataset for Diverse, Explainable Multi-hop Question Answering,' in Proc. EMNLP, 2018.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[7] T. Kwiatkowski et al., 'Natural Questions: A Benchmark for Question Answering Research,' Trans. Assoc. Comput. Linguist. (TACL), 2019.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[8] N. Thakur et al., 'BEIR: A Heterogeneous Benchmark for Zero-shot Evaluation of Information Retrieval Models,' in Proc. NeurIPS Datasets, 2021.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[9] S. Es et al., 'RAGAS: Automated Evaluation of Retrieval Augmented Generation,' arXiv:2309.15217, 2023.</w:t>
      </w:r>
    </w:p>
    <w:p>
      <w:pPr>
        <w:spacing w:after="40" w:line="240" w:lineRule="auto"/>
        <w:jc w:val="both"/>
      </w:pPr>
      <w:r>
        <w:rPr>
          <w:rFonts w:ascii="Times New Roman" w:hAnsi="Times New Roman"/>
          <w:sz w:val="17"/>
        </w:rPr>
        <w:t>[10] O. Khattab and M. Zaharia, 'ColBERT: Efficient and Effective Passage Search via Contextualized Late Interaction over BERT,' in Proc. ACM SIGIR, 2020.</w:t>
      </w:r>
    </w:p>
    <w:sectPr w:rsidR="00FC693F" w:rsidRPr="0006063C" w:rsidSect="00034616">
      <w:type w:val="continuous"/>
      <w:pgSz w:w="12240" w:h="15840"/>
      <w:pgMar w:top="1080" w:right="907" w:bottom="1080" w:left="907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