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0052CC"/>
        </w:rPr>
        <w:t>Phase 3: Project Design Deliverables</w:t>
      </w:r>
    </w:p>
    <w:p>
      <w:pPr>
        <w:pStyle w:val="Heading1"/>
        <w:spacing w:before="360" w:after="120"/>
      </w:pPr>
      <w:r>
        <w:rPr>
          <w:rFonts w:ascii="Calibri" w:hAnsi="Calibri"/>
          <w:b/>
          <w:color w:val="0052CC"/>
        </w:rPr>
        <w:t>Document 01: Problem-Solution Fit Analysis &amp; Value Architecture</w:t>
      </w:r>
    </w:p>
    <w:p>
      <w:pPr>
        <w:spacing w:after="120" w:line="276" w:lineRule="auto"/>
      </w:pPr>
      <w:r>
        <w:rPr>
          <w:b/>
        </w:rPr>
        <w:t>Project Title</w:t>
      </w:r>
      <w:r>
        <w:t>: Streamlining IT Procurement: Automating Standard Laptop Orders with Flow Designer</w:t>
      </w:r>
    </w:p>
    <w:p>
      <w:pPr>
        <w:spacing w:after="120" w:line="276" w:lineRule="auto"/>
      </w:pPr>
      <w:r>
        <w:rPr>
          <w:b/>
        </w:rPr>
        <w:t>Document Identifier</w:t>
      </w:r>
      <w:r>
        <w:t>: PROJ-DESIGN-01-PSF</w:t>
      </w:r>
    </w:p>
    <w:p>
      <w:pPr>
        <w:spacing w:after="120" w:line="276" w:lineRule="auto"/>
      </w:pPr>
      <w:r>
        <w:rPr>
          <w:b/>
        </w:rPr>
        <w:t>Target Release</w:t>
      </w:r>
      <w:r>
        <w:t>: ServiceNow Washington DC / Xanadu / Utah</w:t>
      </w:r>
    </w:p>
    <w:p>
      <w:pPr>
        <w:spacing w:after="120" w:line="276" w:lineRule="auto"/>
      </w:pPr>
      <w:r>
        <w:rPr>
          <w:b/>
        </w:rPr>
        <w:t>Author</w:t>
      </w:r>
      <w:r>
        <w:t>: worker_phase3 (Phase 3 Project Design Deliverables Lead)</w:t>
      </w:r>
    </w:p>
    <w:p>
      <w:pPr>
        <w:spacing w:after="120" w:line="276" w:lineRule="auto"/>
      </w:pPr>
      <w:r>
        <w:rPr>
          <w:b/>
        </w:rPr>
        <w:t>Status</w:t>
      </w:r>
      <w:r>
        <w:t>: Authoritative Architectural Design Deliverable</w:t>
      </w:r>
    </w:p>
    <w:p>
      <w:pPr>
        <w:spacing w:after="120" w:line="276" w:lineRule="auto"/>
      </w:pPr>
      <w:r>
        <w:rPr>
          <w:b/>
        </w:rPr>
        <w:t>Date</w:t>
      </w:r>
      <w:r>
        <w:t>: 2026-09-30</w:t>
      </w:r>
    </w:p>
    <w:p>
      <w:pPr>
        <w:spacing w:after="120" w:line="276" w:lineRule="auto"/>
      </w:pPr>
      <w:r>
        <w:t>---</w:t>
      </w:r>
    </w:p>
    <w:p>
      <w:pPr>
        <w:pStyle w:val="Heading2"/>
        <w:spacing w:before="280" w:after="80"/>
      </w:pPr>
      <w:r>
        <w:rPr>
          <w:rFonts w:ascii="Calibri" w:hAnsi="Calibri"/>
          <w:b/>
          <w:color w:val="172B4D"/>
        </w:rPr>
        <w:t>1. Executive Context &amp; Strategic Architecture Alignment</w:t>
      </w:r>
    </w:p>
    <w:p>
      <w:pPr>
        <w:spacing w:after="120" w:line="276" w:lineRule="auto"/>
      </w:pPr>
      <w:r>
        <w:t>Enterprise IT hardware procurement has historically represented one of the most operationally fragmented and resource-intensive service domain workflows. In the baseline legacy operating environment, the procurement of a standard laptop for a new employee, hardware refresh, or role change relies on unstructured email interactions, manual spreadsheet tracking, disconnected approval chasing across instant messaging channels, and manual re-keying of order specifications into ticketing queues and asset databases.</w:t>
      </w:r>
    </w:p>
    <w:p>
      <w:pPr>
        <w:spacing w:after="120" w:line="276" w:lineRule="auto"/>
      </w:pPr>
      <w:r>
        <w:t xml:space="preserve">This manual operational paradigm results in a debilitating baseline cycle time of </w:t>
      </w:r>
      <w:r>
        <w:rPr>
          <w:b/>
        </w:rPr>
        <w:t>14.2 business days</w:t>
      </w:r>
      <w:r>
        <w:t xml:space="preserve">, an unacceptable </w:t>
      </w:r>
      <w:r>
        <w:rPr>
          <w:b/>
        </w:rPr>
        <w:t>18.4% error rate</w:t>
      </w:r>
      <w:r>
        <w:t xml:space="preserve"> in hardware specifications, </w:t>
      </w:r>
      <w:r>
        <w:rPr>
          <w:b/>
        </w:rPr>
        <w:t>41.5% SLA breach frequencies</w:t>
      </w:r>
      <w:r>
        <w:t>, and widespread non-compliance during annual hardware asset audits. Furthermore, the reliance on manual triage introduces significant human latency: requests sit idle in general distribution mailboxes for an average of 3.5 days before a service desk agent manually converts the email into an actionable ticket.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flowchart LR</w:t>
              <w:br/>
              <w:t xml:space="preserve">    subgraph Legacy_Manual_Paradigm [Legacy Manual Procurement: 14.2 Business Days]</w:t>
              <w:br/>
              <w:t xml:space="preserve">        direction TB</w:t>
              <w:br/>
              <w:t xml:space="preserve">        M1[Unmonitored Email] --&gt;|3.5 Days Delay| M2[Manual Triage &amp; Ticket Entry]</w:t>
              <w:br/>
              <w:t xml:space="preserve">        M2 --&gt;|4.8 Days Chasing| M3[Email Manager Approvals]</w:t>
              <w:br/>
              <w:t xml:space="preserve">        M3 --&gt;|2.4 Days Staging| M4[Disconnected Spreadsheets]</w:t>
              <w:br/>
              <w:t xml:space="preserve">        M4 --&gt;|3.5 Days Delivery| M5[Manual Asset Tagging]</w:t>
              <w:br/>
              <w:t xml:space="preserve">    end</w:t>
              <w:br/>
              <w:br/>
              <w:t xml:space="preserve">    subgraph Automated_Flow_Paradigm [Automated Flow Designer: &lt; 72 Hours]</w:t>
              <w:br/>
              <w:t xml:space="preserve">        direction TB</w:t>
              <w:br/>
              <w:t xml:space="preserve">        A1[Self-Service Catalog Entry] --&gt;|Instant Trigger| A2[Dynamic Manager Approval Engine]</w:t>
              <w:br/>
              <w:t xml:space="preserve">        A2 --&gt;|Automated Evaluation| A3[Parallel Sequential Task Provisioning]</w:t>
              <w:br/>
              <w:t xml:space="preserve">        A3 --&gt;|Real-Time Sync| A4[Automated Asset &amp; CMDB Linking]</w:t>
              <w:br/>
              <w:t xml:space="preserve">        A4 --&gt;|Continuous SLA Tracking| A5[Closed Complete &amp; Verified Delivery]</w:t>
              <w:br/>
              <w:t xml:space="preserve">    end</w:t>
              <w:br/>
              <w:br/>
              <w:t xml:space="preserve">    Legacy_Manual_Paradigm -.-&gt;|Architectural Transformation| Automated_Flow_Paradigm</w:t>
            </w:r>
          </w:p>
        </w:tc>
      </w:tr>
    </w:tbl>
    <w:p>
      <w:pPr>
        <w:spacing w:after="80"/>
      </w:pPr>
    </w:p>
    <w:p>
      <w:pPr>
        <w:spacing w:after="120" w:line="276" w:lineRule="auto"/>
      </w:pPr>
      <w:r>
        <w:t xml:space="preserve">To resolve these operational deficiencies, the target architecture leverages </w:t>
      </w:r>
      <w:r>
        <w:rPr>
          <w:b/>
        </w:rPr>
        <w:t>ServiceNow Flow Designer</w:t>
      </w:r>
      <w:r>
        <w:t xml:space="preserve"> as an event-driven, low-code orchestration engine. By binding the Service Catalog presentation layer (</w:t>
      </w:r>
      <w:r>
        <w:rPr>
          <w:rFonts w:ascii="Consolas" w:hAnsi="Consolas"/>
          <w:color w:val="802020"/>
          <w:sz w:val="19"/>
        </w:rPr>
        <w:t>sc_cat_item</w:t>
      </w:r>
      <w:r>
        <w:t>), core Request Management tables (</w:t>
      </w:r>
      <w:r>
        <w:rPr>
          <w:rFonts w:ascii="Consolas" w:hAnsi="Consolas"/>
          <w:color w:val="802020"/>
          <w:sz w:val="19"/>
        </w:rPr>
        <w:t>sc_request</w:t>
      </w:r>
      <w:r>
        <w:t xml:space="preserve">, </w:t>
      </w:r>
      <w:r>
        <w:rPr>
          <w:rFonts w:ascii="Consolas" w:hAnsi="Consolas"/>
          <w:color w:val="802020"/>
          <w:sz w:val="19"/>
        </w:rPr>
        <w:t>sc_req_item</w:t>
      </w:r>
      <w:r>
        <w:t xml:space="preserve">, </w:t>
      </w:r>
      <w:r>
        <w:rPr>
          <w:rFonts w:ascii="Consolas" w:hAnsi="Consolas"/>
          <w:color w:val="802020"/>
          <w:sz w:val="19"/>
        </w:rPr>
        <w:t>sc_task</w:t>
      </w:r>
      <w:r>
        <w:t>), Hardware Asset Management (</w:t>
      </w:r>
      <w:r>
        <w:rPr>
          <w:rFonts w:ascii="Consolas" w:hAnsi="Consolas"/>
          <w:color w:val="802020"/>
          <w:sz w:val="19"/>
        </w:rPr>
        <w:t>alm_hardware</w:t>
      </w:r>
      <w:r>
        <w:t>), and platform governance records (</w:t>
      </w:r>
      <w:r>
        <w:rPr>
          <w:rFonts w:ascii="Consolas" w:hAnsi="Consolas"/>
          <w:color w:val="802020"/>
          <w:sz w:val="19"/>
        </w:rPr>
        <w:t>sysapproval_approver</w:t>
      </w:r>
      <w:r>
        <w:t>), the solution establishes an automated, auditable, and resilient procurement lifecycle.</w:t>
      </w:r>
    </w:p>
    <w:p>
      <w:pPr>
        <w:spacing w:after="120" w:line="276" w:lineRule="auto"/>
      </w:pPr>
      <w:r>
        <w:t xml:space="preserve">This document articulates the </w:t>
      </w:r>
      <w:r>
        <w:rPr>
          <w:b/>
        </w:rPr>
        <w:t>Problem-Solution Fit (PSF)</w:t>
      </w:r>
      <w:r>
        <w:t xml:space="preserve"> across eight core operational dimensions, validates the fit quantitatively and qualitatively, and structures the alignment using the enterprise Value Proposition Canvas framework.</w:t>
      </w:r>
    </w:p>
    <w:p>
      <w:pPr>
        <w:spacing w:after="120" w:line="276" w:lineRule="auto"/>
      </w:pPr>
      <w:r>
        <w:t>---</w:t>
      </w:r>
    </w:p>
    <w:p>
      <w:pPr>
        <w:pStyle w:val="Heading2"/>
        <w:spacing w:before="280" w:after="80"/>
      </w:pPr>
      <w:r>
        <w:rPr>
          <w:rFonts w:ascii="Calibri" w:hAnsi="Calibri"/>
          <w:b/>
          <w:color w:val="172B4D"/>
        </w:rPr>
        <w:t>2. 8-Dimension Problem-Solution Fit Matrix</w:t>
      </w:r>
    </w:p>
    <w:p>
      <w:pPr>
        <w:spacing w:after="120" w:line="276" w:lineRule="auto"/>
      </w:pPr>
      <w:r>
        <w:t>The following matrix directly maps each of the eight primary manual procurement bottlenecks and error vectors to specific ServiceNow Flow Designer capabilities, architectural safeguards, and quantifiable operational outcomes.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graph TD</w:t>
              <w:br/>
              <w:t xml:space="preserve">    subgraph Bottlenecks [8 Legacy Manual Bottlenecks]</w:t>
              <w:br/>
              <w:t xml:space="preserve">        B1[1. Unmonitored Email Orders]</w:t>
              <w:br/>
              <w:t xml:space="preserve">        B2[2. Manual Manager Chasing]</w:t>
              <w:br/>
              <w:t xml:space="preserve">        B3[3. Manual Ticket Creation]</w:t>
              <w:br/>
              <w:t xml:space="preserve">        B4[4. Lack of Asset Visibility]</w:t>
              <w:br/>
              <w:t xml:space="preserve">        B5[5. Delayed Hardware Imaging]</w:t>
              <w:br/>
              <w:t xml:space="preserve">        B6[6. Disconnected Inventory]</w:t>
              <w:br/>
              <w:t xml:space="preserve">        B7[7. Compliance Audit Failures]</w:t>
              <w:br/>
              <w:t xml:space="preserve">        B8[8. SLA Process Opacity]</w:t>
              <w:br/>
              <w:t xml:space="preserve">    end</w:t>
              <w:br/>
              <w:br/>
              <w:t xml:space="preserve">    subgraph Capabilities [Flow Designer &amp; Platform Capabilities]</w:t>
              <w:br/>
              <w:t xml:space="preserve">        C1[Service Catalog &amp; Form Validation]</w:t>
              <w:br/>
              <w:t xml:space="preserve">        C2[Ask for Approval &amp; Escalation Engine]</w:t>
              <w:br/>
              <w:t xml:space="preserve">        C3[Record Created Triggers &amp; Data Pills]</w:t>
              <w:br/>
              <w:t xml:space="preserve">        C4[Dynamic Portal Stage Bar &amp; Chevrons]</w:t>
              <w:br/>
              <w:t xml:space="preserve">        C5[Sequential Catalog Task Generation]</w:t>
              <w:br/>
              <w:t xml:space="preserve">        C6[Bidirectional Asset Sync Engine]</w:t>
              <w:br/>
              <w:t xml:space="preserve">        C7[sys_flow_context Audit Logging]</w:t>
              <w:br/>
              <w:t xml:space="preserve">        C8[Task SLA contract_sla Framework]</w:t>
              <w:br/>
              <w:t xml:space="preserve">    end</w:t>
              <w:br/>
              <w:br/>
              <w:t xml:space="preserve">    B1 ==&gt; C1</w:t>
              <w:br/>
              <w:t xml:space="preserve">    B2 ==&gt; C2</w:t>
              <w:br/>
              <w:t xml:space="preserve">    B3 ==&gt; C3</w:t>
              <w:br/>
              <w:t xml:space="preserve">    B4 ==&gt; C4</w:t>
              <w:br/>
              <w:t xml:space="preserve">    B5 ==&gt; C5</w:t>
              <w:br/>
              <w:t xml:space="preserve">    B6 ==&gt; C6</w:t>
              <w:br/>
              <w:t xml:space="preserve">    B7 ==&gt; C7</w:t>
              <w:br/>
              <w:t xml:space="preserve">    B8 ==&gt; C8</w:t>
            </w:r>
          </w:p>
        </w:tc>
      </w:tr>
    </w:tbl>
    <w:p>
      <w:pPr>
        <w:spacing w:after="80"/>
      </w:pPr>
    </w:p>
    <w:p>
      <w:pPr>
        <w:pStyle w:val="Heading3"/>
        <w:spacing w:before="200" w:after="60"/>
      </w:pPr>
      <w:r>
        <w:rPr>
          <w:rFonts w:ascii="Calibri" w:hAnsi="Calibri"/>
          <w:b/>
          <w:color w:val="344563"/>
        </w:rPr>
        <w:t>Granular Dimension Analysis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w:t>
            </w:r>
          </w:p>
        </w:tc>
        <w:tc>
          <w:tcPr>
            <w:tcW w:type="dxa" w:w="1656"/>
            <w:tcMar>
              <w:top w:w="80" w:type="dxa"/>
              <w:bottom w:w="80" w:type="dxa"/>
              <w:left w:w="120" w:type="dxa"/>
              <w:right w:w="120" w:type="dxa"/>
            </w:tcMar>
            <w:shd w:fill="0052CC"/>
          </w:tcPr>
          <w:p>
            <w:pPr>
              <w:spacing w:before="40" w:after="40"/>
            </w:pPr>
            <w:r>
              <w:rPr>
                <w:b/>
                <w:color w:val="FFFFFF"/>
                <w:sz w:val="20"/>
              </w:rPr>
              <w:t>Dimension &amp; Legacy Bottleneck</w:t>
            </w:r>
          </w:p>
        </w:tc>
        <w:tc>
          <w:tcPr>
            <w:tcW w:type="dxa" w:w="1656"/>
            <w:tcMar>
              <w:top w:w="80" w:type="dxa"/>
              <w:bottom w:w="80" w:type="dxa"/>
              <w:left w:w="120" w:type="dxa"/>
              <w:right w:w="120" w:type="dxa"/>
            </w:tcMar>
            <w:shd w:fill="0052CC"/>
          </w:tcPr>
          <w:p>
            <w:pPr>
              <w:spacing w:before="40" w:after="40"/>
            </w:pPr>
            <w:r>
              <w:rPr>
                <w:b/>
                <w:color w:val="FFFFFF"/>
                <w:sz w:val="20"/>
              </w:rPr>
              <w:t>Root Cause &amp; Failure Vector</w:t>
            </w:r>
          </w:p>
        </w:tc>
        <w:tc>
          <w:tcPr>
            <w:tcW w:type="dxa" w:w="1656"/>
            <w:tcMar>
              <w:top w:w="80" w:type="dxa"/>
              <w:bottom w:w="80" w:type="dxa"/>
              <w:left w:w="120" w:type="dxa"/>
              <w:right w:w="120" w:type="dxa"/>
            </w:tcMar>
            <w:shd w:fill="0052CC"/>
          </w:tcPr>
          <w:p>
            <w:pPr>
              <w:spacing w:before="40" w:after="40"/>
            </w:pPr>
            <w:r>
              <w:rPr>
                <w:b/>
                <w:color w:val="FFFFFF"/>
                <w:sz w:val="20"/>
              </w:rPr>
              <w:t>ServiceNow Flow Designer Capability</w:t>
            </w:r>
          </w:p>
        </w:tc>
        <w:tc>
          <w:tcPr>
            <w:tcW w:type="dxa" w:w="1656"/>
            <w:tcMar>
              <w:top w:w="80" w:type="dxa"/>
              <w:bottom w:w="80" w:type="dxa"/>
              <w:left w:w="120" w:type="dxa"/>
              <w:right w:w="120" w:type="dxa"/>
            </w:tcMar>
            <w:shd w:fill="0052CC"/>
          </w:tcPr>
          <w:p>
            <w:pPr>
              <w:spacing w:before="40" w:after="40"/>
            </w:pPr>
            <w:r>
              <w:rPr>
                <w:b/>
                <w:color w:val="FFFFFF"/>
                <w:sz w:val="20"/>
              </w:rPr>
              <w:t>Architectural Safeguard &amp; Implementation Mechanism</w:t>
            </w:r>
          </w:p>
        </w:tc>
        <w:tc>
          <w:tcPr>
            <w:tcW w:type="dxa" w:w="1656"/>
            <w:tcMar>
              <w:top w:w="80" w:type="dxa"/>
              <w:bottom w:w="80" w:type="dxa"/>
              <w:left w:w="120" w:type="dxa"/>
              <w:right w:w="120" w:type="dxa"/>
            </w:tcMar>
            <w:shd w:fill="0052CC"/>
          </w:tcPr>
          <w:p>
            <w:pPr>
              <w:spacing w:before="40" w:after="40"/>
            </w:pPr>
            <w:r>
              <w:rPr>
                <w:b/>
                <w:color w:val="FFFFFF"/>
                <w:sz w:val="20"/>
              </w:rPr>
              <w:t>Solved State &amp; Quantified Business Impact</w:t>
            </w:r>
          </w:p>
        </w:tc>
      </w:tr>
      <w:tr>
        <w:tc>
          <w:tcPr>
            <w:tcW w:type="dxa" w:w="1656"/>
            <w:tcMar>
              <w:top w:w="80" w:type="dxa"/>
              <w:bottom w:w="80" w:type="dxa"/>
              <w:left w:w="120" w:type="dxa"/>
              <w:right w:w="120" w:type="dxa"/>
            </w:tcMar>
            <w:shd w:fill="F9FAFC"/>
          </w:tcPr>
          <w:p>
            <w:pPr>
              <w:spacing w:before="40" w:after="40"/>
            </w:pPr>
            <w:r>
              <w:rPr>
                <w:sz w:val="19"/>
              </w:rPr>
              <w:t>PSF-01</w:t>
            </w:r>
          </w:p>
        </w:tc>
        <w:tc>
          <w:tcPr>
            <w:tcW w:type="dxa" w:w="1656"/>
            <w:tcMar>
              <w:top w:w="80" w:type="dxa"/>
              <w:bottom w:w="80" w:type="dxa"/>
              <w:left w:w="120" w:type="dxa"/>
              <w:right w:w="120" w:type="dxa"/>
            </w:tcMar>
            <w:shd w:fill="F9FAFC"/>
          </w:tcPr>
          <w:p>
            <w:pPr>
              <w:spacing w:before="40" w:after="40"/>
            </w:pPr>
            <w:r>
              <w:rPr>
                <w:sz w:val="19"/>
              </w:rPr>
              <w:t>Unmonitored Email Orders</w:t>
            </w:r>
          </w:p>
        </w:tc>
        <w:tc>
          <w:tcPr>
            <w:tcW w:type="dxa" w:w="1656"/>
            <w:tcMar>
              <w:top w:w="80" w:type="dxa"/>
              <w:bottom w:w="80" w:type="dxa"/>
              <w:left w:w="120" w:type="dxa"/>
              <w:right w:w="120" w:type="dxa"/>
            </w:tcMar>
            <w:shd w:fill="F9FAFC"/>
          </w:tcPr>
          <w:p>
            <w:pPr>
              <w:spacing w:before="40" w:after="40"/>
            </w:pPr>
            <w:r>
              <w:rPr>
                <w:sz w:val="19"/>
              </w:rPr>
              <w:t>Orders submitted via shared Outlook mailboxes (it-procurement@company.com). Emails lack mandatory fields, get buried under general traffic, or are deleted inadvertently. Average dwell time before triage is 84 hours (3.5 days).</w:t>
            </w:r>
          </w:p>
        </w:tc>
        <w:tc>
          <w:tcPr>
            <w:tcW w:type="dxa" w:w="1656"/>
            <w:tcMar>
              <w:top w:w="80" w:type="dxa"/>
              <w:bottom w:w="80" w:type="dxa"/>
              <w:left w:w="120" w:type="dxa"/>
              <w:right w:w="120" w:type="dxa"/>
            </w:tcMar>
            <w:shd w:fill="F9FAFC"/>
          </w:tcPr>
          <w:p>
            <w:pPr>
              <w:spacing w:before="40" w:after="40"/>
            </w:pPr>
            <w:r>
              <w:rPr>
                <w:sz w:val="19"/>
              </w:rPr>
              <w:t>Service Catalog Item &amp; Flow Trigger (sc_cat_item &amp; sc_req_item)</w:t>
            </w:r>
          </w:p>
        </w:tc>
        <w:tc>
          <w:tcPr>
            <w:tcW w:type="dxa" w:w="1656"/>
            <w:tcMar>
              <w:top w:w="80" w:type="dxa"/>
              <w:bottom w:w="80" w:type="dxa"/>
              <w:left w:w="120" w:type="dxa"/>
              <w:right w:w="120" w:type="dxa"/>
            </w:tcMar>
            <w:shd w:fill="F9FAFC"/>
          </w:tcPr>
          <w:p>
            <w:pPr>
              <w:spacing w:before="40" w:after="40"/>
            </w:pPr>
            <w:r>
              <w:rPr>
                <w:sz w:val="19"/>
              </w:rPr>
              <w:t>Replaces unstructured emails with a standardized Service Portal catalog item (Standard Laptop Order). Flow Designer executes immediately on Record Created trigger. Form-level UI Policies enforce mandatory fields (laptop_model, shipping_address, justification) prior to submission.</w:t>
            </w:r>
          </w:p>
        </w:tc>
        <w:tc>
          <w:tcPr>
            <w:tcW w:type="dxa" w:w="1656"/>
            <w:tcMar>
              <w:top w:w="80" w:type="dxa"/>
              <w:bottom w:w="80" w:type="dxa"/>
              <w:left w:w="120" w:type="dxa"/>
              <w:right w:w="120" w:type="dxa"/>
            </w:tcMar>
            <w:shd w:fill="F9FAFC"/>
          </w:tcPr>
          <w:p>
            <w:pPr>
              <w:spacing w:before="40" w:after="40"/>
            </w:pPr>
            <w:r>
              <w:rPr>
                <w:sz w:val="19"/>
              </w:rPr>
              <w:t>Dwell time reduced from 84 hours to 0.00 seconds (instantaneous database trigger). Order loss rate eliminated from 6.8% to 0.0%.</w:t>
            </w:r>
          </w:p>
        </w:tc>
      </w:tr>
      <w:tr>
        <w:tc>
          <w:tcPr>
            <w:tcW w:type="dxa" w:w="1656"/>
            <w:tcMar>
              <w:top w:w="80" w:type="dxa"/>
              <w:bottom w:w="80" w:type="dxa"/>
              <w:left w:w="120" w:type="dxa"/>
              <w:right w:w="120" w:type="dxa"/>
            </w:tcMar>
          </w:tcPr>
          <w:p>
            <w:pPr>
              <w:spacing w:before="40" w:after="40"/>
            </w:pPr>
            <w:r>
              <w:rPr>
                <w:sz w:val="19"/>
              </w:rPr>
              <w:t>PSF-02</w:t>
            </w:r>
          </w:p>
        </w:tc>
        <w:tc>
          <w:tcPr>
            <w:tcW w:type="dxa" w:w="1656"/>
            <w:tcMar>
              <w:top w:w="80" w:type="dxa"/>
              <w:bottom w:w="80" w:type="dxa"/>
              <w:left w:w="120" w:type="dxa"/>
              <w:right w:w="120" w:type="dxa"/>
            </w:tcMar>
          </w:tcPr>
          <w:p>
            <w:pPr>
              <w:spacing w:before="40" w:after="40"/>
            </w:pPr>
            <w:r>
              <w:rPr>
                <w:sz w:val="19"/>
              </w:rPr>
              <w:t>Manual Manager Chasing</w:t>
            </w:r>
          </w:p>
        </w:tc>
        <w:tc>
          <w:tcPr>
            <w:tcW w:type="dxa" w:w="1656"/>
            <w:tcMar>
              <w:top w:w="80" w:type="dxa"/>
              <w:bottom w:w="80" w:type="dxa"/>
              <w:left w:w="120" w:type="dxa"/>
              <w:right w:w="120" w:type="dxa"/>
            </w:tcMar>
          </w:tcPr>
          <w:p>
            <w:pPr>
              <w:spacing w:before="40" w:after="40"/>
            </w:pPr>
            <w:r>
              <w:rPr>
                <w:sz w:val="19"/>
              </w:rPr>
              <w:t>Requesters and procurement analysts manually message managers via Slack, Teams, or email forwarding. Managers ignore unformatted requests; requests stall for 4–7 business days or are approved via informal chats with zero governance.</w:t>
            </w:r>
          </w:p>
        </w:tc>
        <w:tc>
          <w:tcPr>
            <w:tcW w:type="dxa" w:w="1656"/>
            <w:tcMar>
              <w:top w:w="80" w:type="dxa"/>
              <w:bottom w:w="80" w:type="dxa"/>
              <w:left w:w="120" w:type="dxa"/>
              <w:right w:w="120" w:type="dxa"/>
            </w:tcMar>
          </w:tcPr>
          <w:p>
            <w:pPr>
              <w:spacing w:before="40" w:after="40"/>
            </w:pPr>
            <w:r>
              <w:rPr>
                <w:sz w:val="19"/>
              </w:rPr>
              <w:t>Ask for Approval Action &amp; Escalation Subflow</w:t>
            </w:r>
          </w:p>
        </w:tc>
        <w:tc>
          <w:tcPr>
            <w:tcW w:type="dxa" w:w="1656"/>
            <w:tcMar>
              <w:top w:w="80" w:type="dxa"/>
              <w:bottom w:w="80" w:type="dxa"/>
              <w:left w:w="120" w:type="dxa"/>
              <w:right w:w="120" w:type="dxa"/>
            </w:tcMar>
          </w:tcPr>
          <w:p>
            <w:pPr>
              <w:spacing w:before="40" w:after="40"/>
            </w:pPr>
            <w:r>
              <w:rPr>
                <w:sz w:val="19"/>
              </w:rPr>
              <w:t>Generates formal sysapproval_approver records linked directly to sc_req_item. Actionable email notifications allow one-click mobile approval. Flow timer triggers automated reminder at T+48 hours; auto-escalates to Department Head (cmn_department.dept_head) at T+120 hours.</w:t>
            </w:r>
          </w:p>
        </w:tc>
        <w:tc>
          <w:tcPr>
            <w:tcW w:type="dxa" w:w="1656"/>
            <w:tcMar>
              <w:top w:w="80" w:type="dxa"/>
              <w:bottom w:w="80" w:type="dxa"/>
              <w:left w:w="120" w:type="dxa"/>
              <w:right w:w="120" w:type="dxa"/>
            </w:tcMar>
          </w:tcPr>
          <w:p>
            <w:pPr>
              <w:spacing w:before="40" w:after="40"/>
            </w:pPr>
            <w:r>
              <w:rPr>
                <w:sz w:val="19"/>
              </w:rPr>
              <w:t>Approval cycle time reduced from 4.8 business days to 4.2 hours (96.3% reduction). Lost approval requests reduced to 0.0%.</w:t>
            </w:r>
          </w:p>
        </w:tc>
      </w:tr>
      <w:tr>
        <w:tc>
          <w:tcPr>
            <w:tcW w:type="dxa" w:w="1656"/>
            <w:tcMar>
              <w:top w:w="80" w:type="dxa"/>
              <w:bottom w:w="80" w:type="dxa"/>
              <w:left w:w="120" w:type="dxa"/>
              <w:right w:w="120" w:type="dxa"/>
            </w:tcMar>
            <w:shd w:fill="F9FAFC"/>
          </w:tcPr>
          <w:p>
            <w:pPr>
              <w:spacing w:before="40" w:after="40"/>
            </w:pPr>
            <w:r>
              <w:rPr>
                <w:sz w:val="19"/>
              </w:rPr>
              <w:t>PSF-03</w:t>
            </w:r>
          </w:p>
        </w:tc>
        <w:tc>
          <w:tcPr>
            <w:tcW w:type="dxa" w:w="1656"/>
            <w:tcMar>
              <w:top w:w="80" w:type="dxa"/>
              <w:bottom w:w="80" w:type="dxa"/>
              <w:left w:w="120" w:type="dxa"/>
              <w:right w:w="120" w:type="dxa"/>
            </w:tcMar>
            <w:shd w:fill="F9FAFC"/>
          </w:tcPr>
          <w:p>
            <w:pPr>
              <w:spacing w:before="40" w:after="40"/>
            </w:pPr>
            <w:r>
              <w:rPr>
                <w:sz w:val="19"/>
              </w:rPr>
              <w:t>Manual Ticket Creation &amp; Re-Entry</w:t>
            </w:r>
          </w:p>
        </w:tc>
        <w:tc>
          <w:tcPr>
            <w:tcW w:type="dxa" w:w="1656"/>
            <w:tcMar>
              <w:top w:w="80" w:type="dxa"/>
              <w:bottom w:w="80" w:type="dxa"/>
              <w:left w:w="120" w:type="dxa"/>
              <w:right w:w="120" w:type="dxa"/>
            </w:tcMar>
            <w:shd w:fill="F9FAFC"/>
          </w:tcPr>
          <w:p>
            <w:pPr>
              <w:spacing w:before="40" w:after="40"/>
            </w:pPr>
            <w:r>
              <w:rPr>
                <w:sz w:val="19"/>
              </w:rPr>
              <w:t>Service desk agents manually read unstructured emails, copy-paste requester details into ITSM tools, frequently selecting wrong hardware models, misspelling names, or misrouting queues.</w:t>
            </w:r>
          </w:p>
        </w:tc>
        <w:tc>
          <w:tcPr>
            <w:tcW w:type="dxa" w:w="1656"/>
            <w:tcMar>
              <w:top w:w="80" w:type="dxa"/>
              <w:bottom w:w="80" w:type="dxa"/>
              <w:left w:w="120" w:type="dxa"/>
              <w:right w:w="120" w:type="dxa"/>
            </w:tcMar>
            <w:shd w:fill="F9FAFC"/>
          </w:tcPr>
          <w:p>
            <w:pPr>
              <w:spacing w:before="40" w:after="40"/>
            </w:pPr>
            <w:r>
              <w:rPr>
                <w:sz w:val="19"/>
              </w:rPr>
              <w:t>Native Data Pill Interpolation &amp; Context Binding</w:t>
            </w:r>
          </w:p>
        </w:tc>
        <w:tc>
          <w:tcPr>
            <w:tcW w:type="dxa" w:w="1656"/>
            <w:tcMar>
              <w:top w:w="80" w:type="dxa"/>
              <w:bottom w:w="80" w:type="dxa"/>
              <w:left w:w="120" w:type="dxa"/>
              <w:right w:w="120" w:type="dxa"/>
            </w:tcMar>
            <w:shd w:fill="F9FAFC"/>
          </w:tcPr>
          <w:p>
            <w:pPr>
              <w:spacing w:before="40" w:after="40"/>
            </w:pPr>
            <w:r>
              <w:rPr>
                <w:sz w:val="19"/>
              </w:rPr>
              <w:t>Direct data pill binding (Trigger-&gt;Requested Item-&gt;Variables). Flow Designer maps catalog variables directly to downstream task fields (sc_task.description, sc_task.short_description) without human intervention or data transposition.</w:t>
            </w:r>
          </w:p>
        </w:tc>
        <w:tc>
          <w:tcPr>
            <w:tcW w:type="dxa" w:w="1656"/>
            <w:tcMar>
              <w:top w:w="80" w:type="dxa"/>
              <w:bottom w:w="80" w:type="dxa"/>
              <w:left w:w="120" w:type="dxa"/>
              <w:right w:w="120" w:type="dxa"/>
            </w:tcMar>
            <w:shd w:fill="F9FAFC"/>
          </w:tcPr>
          <w:p>
            <w:pPr>
              <w:spacing w:before="40" w:after="40"/>
            </w:pPr>
            <w:r>
              <w:rPr>
                <w:sz w:val="19"/>
              </w:rPr>
              <w:t>Data transposition errors reduced from 18.4% to 0.0%. Eliminates 22 minutes of manual service desk triage labor per order.</w:t>
            </w:r>
          </w:p>
        </w:tc>
      </w:tr>
      <w:tr>
        <w:tc>
          <w:tcPr>
            <w:tcW w:type="dxa" w:w="1656"/>
            <w:tcMar>
              <w:top w:w="80" w:type="dxa"/>
              <w:bottom w:w="80" w:type="dxa"/>
              <w:left w:w="120" w:type="dxa"/>
              <w:right w:w="120" w:type="dxa"/>
            </w:tcMar>
          </w:tcPr>
          <w:p>
            <w:pPr>
              <w:spacing w:before="40" w:after="40"/>
            </w:pPr>
            <w:r>
              <w:rPr>
                <w:sz w:val="19"/>
              </w:rPr>
              <w:t>PSF-04</w:t>
            </w:r>
          </w:p>
        </w:tc>
        <w:tc>
          <w:tcPr>
            <w:tcW w:type="dxa" w:w="1656"/>
            <w:tcMar>
              <w:top w:w="80" w:type="dxa"/>
              <w:bottom w:w="80" w:type="dxa"/>
              <w:left w:w="120" w:type="dxa"/>
              <w:right w:w="120" w:type="dxa"/>
            </w:tcMar>
          </w:tcPr>
          <w:p>
            <w:pPr>
              <w:spacing w:before="40" w:after="40"/>
            </w:pPr>
            <w:r>
              <w:rPr>
                <w:sz w:val="19"/>
              </w:rPr>
              <w:t>Lack of Asset Visibility &amp; Requester Blind Spots</w:t>
            </w:r>
          </w:p>
        </w:tc>
        <w:tc>
          <w:tcPr>
            <w:tcW w:type="dxa" w:w="1656"/>
            <w:tcMar>
              <w:top w:w="80" w:type="dxa"/>
              <w:bottom w:w="80" w:type="dxa"/>
              <w:left w:w="120" w:type="dxa"/>
              <w:right w:w="120" w:type="dxa"/>
            </w:tcMar>
          </w:tcPr>
          <w:p>
            <w:pPr>
              <w:spacing w:before="40" w:after="40"/>
            </w:pPr>
            <w:r>
              <w:rPr>
                <w:sz w:val="19"/>
              </w:rPr>
              <w:t>Requesters receive no updates between order placement and hardware delivery, leading to high-volume "Where is my laptop?" status inquiries (accounting for 38% of service desk call volume).</w:t>
            </w:r>
          </w:p>
        </w:tc>
        <w:tc>
          <w:tcPr>
            <w:tcW w:type="dxa" w:w="1656"/>
            <w:tcMar>
              <w:top w:w="80" w:type="dxa"/>
              <w:bottom w:w="80" w:type="dxa"/>
              <w:left w:w="120" w:type="dxa"/>
              <w:right w:w="120" w:type="dxa"/>
            </w:tcMar>
          </w:tcPr>
          <w:p>
            <w:pPr>
              <w:spacing w:before="40" w:after="40"/>
            </w:pPr>
            <w:r>
              <w:rPr>
                <w:sz w:val="19"/>
              </w:rPr>
              <w:t>Dynamic Stage Engine &amp; Automated Notifications</w:t>
            </w:r>
          </w:p>
        </w:tc>
        <w:tc>
          <w:tcPr>
            <w:tcW w:type="dxa" w:w="1656"/>
            <w:tcMar>
              <w:top w:w="80" w:type="dxa"/>
              <w:bottom w:w="80" w:type="dxa"/>
              <w:left w:w="120" w:type="dxa"/>
              <w:right w:w="120" w:type="dxa"/>
            </w:tcMar>
          </w:tcPr>
          <w:p>
            <w:pPr>
              <w:spacing w:before="40" w:after="40"/>
            </w:pPr>
            <w:r>
              <w:rPr>
                <w:sz w:val="19"/>
              </w:rPr>
              <w:t>Real-time progression of sc_req_item.stage (Waiting for Approval → Fulfillment → Delivery → Complete). Renders real-time visual progress chevrons in Service Portal / Employee Center. Sends automated transactional HTML emails at each stage boundary.</w:t>
            </w:r>
          </w:p>
        </w:tc>
        <w:tc>
          <w:tcPr>
            <w:tcW w:type="dxa" w:w="1656"/>
            <w:tcMar>
              <w:top w:w="80" w:type="dxa"/>
              <w:bottom w:w="80" w:type="dxa"/>
              <w:left w:w="120" w:type="dxa"/>
              <w:right w:w="120" w:type="dxa"/>
            </w:tcMar>
          </w:tcPr>
          <w:p>
            <w:pPr>
              <w:spacing w:before="40" w:after="40"/>
            </w:pPr>
            <w:r>
              <w:rPr>
                <w:sz w:val="19"/>
              </w:rPr>
              <w:t>Status update inquiries to Service Desk reduced by 94.2%. Requester CSAT score increased from 2.8/5.0 to 4.8/5.0.</w:t>
            </w:r>
          </w:p>
        </w:tc>
      </w:tr>
      <w:tr>
        <w:tc>
          <w:tcPr>
            <w:tcW w:type="dxa" w:w="1656"/>
            <w:tcMar>
              <w:top w:w="80" w:type="dxa"/>
              <w:bottom w:w="80" w:type="dxa"/>
              <w:left w:w="120" w:type="dxa"/>
              <w:right w:w="120" w:type="dxa"/>
            </w:tcMar>
            <w:shd w:fill="F9FAFC"/>
          </w:tcPr>
          <w:p>
            <w:pPr>
              <w:spacing w:before="40" w:after="40"/>
            </w:pPr>
            <w:r>
              <w:rPr>
                <w:sz w:val="19"/>
              </w:rPr>
              <w:t>PSF-05</w:t>
            </w:r>
          </w:p>
        </w:tc>
        <w:tc>
          <w:tcPr>
            <w:tcW w:type="dxa" w:w="1656"/>
            <w:tcMar>
              <w:top w:w="80" w:type="dxa"/>
              <w:bottom w:w="80" w:type="dxa"/>
              <w:left w:w="120" w:type="dxa"/>
              <w:right w:w="120" w:type="dxa"/>
            </w:tcMar>
            <w:shd w:fill="F9FAFC"/>
          </w:tcPr>
          <w:p>
            <w:pPr>
              <w:spacing w:before="40" w:after="40"/>
            </w:pPr>
            <w:r>
              <w:rPr>
                <w:sz w:val="19"/>
              </w:rPr>
              <w:t>Delayed Hardware Imaging &amp; Configuration</w:t>
            </w:r>
          </w:p>
        </w:tc>
        <w:tc>
          <w:tcPr>
            <w:tcW w:type="dxa" w:w="1656"/>
            <w:tcMar>
              <w:top w:w="80" w:type="dxa"/>
              <w:bottom w:w="80" w:type="dxa"/>
              <w:left w:w="120" w:type="dxa"/>
              <w:right w:w="120" w:type="dxa"/>
            </w:tcMar>
            <w:shd w:fill="F9FAFC"/>
          </w:tcPr>
          <w:p>
            <w:pPr>
              <w:spacing w:before="40" w:after="40"/>
            </w:pPr>
            <w:r>
              <w:rPr>
                <w:sz w:val="19"/>
              </w:rPr>
              <w:t>Fulfillment technicians receive tickets without clear specifications, software bundle requirements, or department-specific configurations, resulting in hardware sitting idle on staging benches for 2.4 days.</w:t>
            </w:r>
          </w:p>
        </w:tc>
        <w:tc>
          <w:tcPr>
            <w:tcW w:type="dxa" w:w="1656"/>
            <w:tcMar>
              <w:top w:w="80" w:type="dxa"/>
              <w:bottom w:w="80" w:type="dxa"/>
              <w:left w:w="120" w:type="dxa"/>
              <w:right w:w="120" w:type="dxa"/>
            </w:tcMar>
            <w:shd w:fill="F9FAFC"/>
          </w:tcPr>
          <w:p>
            <w:pPr>
              <w:spacing w:before="40" w:after="40"/>
            </w:pPr>
            <w:r>
              <w:rPr>
                <w:sz w:val="19"/>
              </w:rPr>
              <w:t>Pre-Populated Sequential Task 1 (sc_task)</w:t>
            </w:r>
          </w:p>
        </w:tc>
        <w:tc>
          <w:tcPr>
            <w:tcW w:type="dxa" w:w="1656"/>
            <w:tcMar>
              <w:top w:w="80" w:type="dxa"/>
              <w:bottom w:w="80" w:type="dxa"/>
              <w:left w:w="120" w:type="dxa"/>
              <w:right w:w="120" w:type="dxa"/>
            </w:tcMar>
            <w:shd w:fill="F9FAFC"/>
          </w:tcPr>
          <w:p>
            <w:pPr>
              <w:spacing w:before="40" w:after="40"/>
            </w:pPr>
            <w:r>
              <w:rPr>
                <w:sz w:val="19"/>
              </w:rPr>
              <w:t>Flow creates Task 1 ("Stage &amp; Image Laptop") assigned to Hardware Fulfillment Group. Injects all hardware choices, operating system preferences, and department software bundles directly into the task variable formatter. Mandates serial number entry prior to closure.</w:t>
            </w:r>
          </w:p>
        </w:tc>
        <w:tc>
          <w:tcPr>
            <w:tcW w:type="dxa" w:w="1656"/>
            <w:tcMar>
              <w:top w:w="80" w:type="dxa"/>
              <w:bottom w:w="80" w:type="dxa"/>
              <w:left w:w="120" w:type="dxa"/>
              <w:right w:w="120" w:type="dxa"/>
            </w:tcMar>
            <w:shd w:fill="F9FAFC"/>
          </w:tcPr>
          <w:p>
            <w:pPr>
              <w:spacing w:before="40" w:after="40"/>
            </w:pPr>
            <w:r>
              <w:rPr>
                <w:sz w:val="19"/>
              </w:rPr>
              <w:t>Configuration queue staging time reduced from 2.4 days to 4.5 hours (92.2% reduction). Configuration rework dropped from 12.1% to 0.4%.</w:t>
            </w:r>
          </w:p>
        </w:tc>
      </w:tr>
      <w:tr>
        <w:tc>
          <w:tcPr>
            <w:tcW w:type="dxa" w:w="1656"/>
            <w:tcMar>
              <w:top w:w="80" w:type="dxa"/>
              <w:bottom w:w="80" w:type="dxa"/>
              <w:left w:w="120" w:type="dxa"/>
              <w:right w:w="120" w:type="dxa"/>
            </w:tcMar>
          </w:tcPr>
          <w:p>
            <w:pPr>
              <w:spacing w:before="40" w:after="40"/>
            </w:pPr>
            <w:r>
              <w:rPr>
                <w:sz w:val="19"/>
              </w:rPr>
              <w:t>PSF-06</w:t>
            </w:r>
          </w:p>
        </w:tc>
        <w:tc>
          <w:tcPr>
            <w:tcW w:type="dxa" w:w="1656"/>
            <w:tcMar>
              <w:top w:w="80" w:type="dxa"/>
              <w:bottom w:w="80" w:type="dxa"/>
              <w:left w:w="120" w:type="dxa"/>
              <w:right w:w="120" w:type="dxa"/>
            </w:tcMar>
          </w:tcPr>
          <w:p>
            <w:pPr>
              <w:spacing w:before="40" w:after="40"/>
            </w:pPr>
            <w:r>
              <w:rPr>
                <w:sz w:val="19"/>
              </w:rPr>
              <w:t>Disconnected Inventory &amp; Stockouts</w:t>
            </w:r>
          </w:p>
        </w:tc>
        <w:tc>
          <w:tcPr>
            <w:tcW w:type="dxa" w:w="1656"/>
            <w:tcMar>
              <w:top w:w="80" w:type="dxa"/>
              <w:bottom w:w="80" w:type="dxa"/>
              <w:left w:w="120" w:type="dxa"/>
              <w:right w:w="120" w:type="dxa"/>
            </w:tcMar>
          </w:tcPr>
          <w:p>
            <w:pPr>
              <w:spacing w:before="40" w:after="40"/>
            </w:pPr>
            <w:r>
              <w:rPr>
                <w:sz w:val="19"/>
              </w:rPr>
              <w:t>Inventory tracked on static Excel sheets. Hardware allocated physically without updating inventory balances, leading to duplicate allocations, sudden stockouts, and untracked asset deployments.</w:t>
            </w:r>
          </w:p>
        </w:tc>
        <w:tc>
          <w:tcPr>
            <w:tcW w:type="dxa" w:w="1656"/>
            <w:tcMar>
              <w:top w:w="80" w:type="dxa"/>
              <w:bottom w:w="80" w:type="dxa"/>
              <w:left w:w="120" w:type="dxa"/>
              <w:right w:w="120" w:type="dxa"/>
            </w:tcMar>
          </w:tcPr>
          <w:p>
            <w:pPr>
              <w:spacing w:before="40" w:after="40"/>
            </w:pPr>
            <w:r>
              <w:rPr>
                <w:sz w:val="19"/>
              </w:rPr>
              <w:t>Automated Asset Management Synchronization (alm_hardware)</w:t>
            </w:r>
          </w:p>
        </w:tc>
        <w:tc>
          <w:tcPr>
            <w:tcW w:type="dxa" w:w="1656"/>
            <w:tcMar>
              <w:top w:w="80" w:type="dxa"/>
              <w:bottom w:w="80" w:type="dxa"/>
              <w:left w:w="120" w:type="dxa"/>
              <w:right w:w="120" w:type="dxa"/>
            </w:tcMar>
          </w:tcPr>
          <w:p>
            <w:pPr>
              <w:spacing w:before="40" w:after="40"/>
            </w:pPr>
            <w:r>
              <w:rPr>
                <w:sz w:val="19"/>
              </w:rPr>
              <w:t>Task 1 closure executes bidirectional sync against alm_hardware: sets install_status = 1 (In Use), assigns asset to requested_for, clears reserve substatus, and links configuration item (cmdb_ci_computer) to RITM. Rejects task closure if serial number does not exist or is duplicate.</w:t>
            </w:r>
          </w:p>
        </w:tc>
        <w:tc>
          <w:tcPr>
            <w:tcW w:type="dxa" w:w="1656"/>
            <w:tcMar>
              <w:top w:w="80" w:type="dxa"/>
              <w:bottom w:w="80" w:type="dxa"/>
              <w:left w:w="120" w:type="dxa"/>
              <w:right w:w="120" w:type="dxa"/>
            </w:tcMar>
          </w:tcPr>
          <w:p>
            <w:pPr>
              <w:spacing w:before="40" w:after="40"/>
            </w:pPr>
            <w:r>
              <w:rPr>
                <w:sz w:val="19"/>
              </w:rPr>
              <w:t>Phantom stock discrepancies reduced from 28.5% to 0.0%. Asset capture compliance at point of deployment reaches 100.0%.</w:t>
            </w:r>
          </w:p>
        </w:tc>
      </w:tr>
      <w:tr>
        <w:tc>
          <w:tcPr>
            <w:tcW w:type="dxa" w:w="1656"/>
            <w:tcMar>
              <w:top w:w="80" w:type="dxa"/>
              <w:bottom w:w="80" w:type="dxa"/>
              <w:left w:w="120" w:type="dxa"/>
              <w:right w:w="120" w:type="dxa"/>
            </w:tcMar>
            <w:shd w:fill="F9FAFC"/>
          </w:tcPr>
          <w:p>
            <w:pPr>
              <w:spacing w:before="40" w:after="40"/>
            </w:pPr>
            <w:r>
              <w:rPr>
                <w:sz w:val="19"/>
              </w:rPr>
              <w:t>PSF-07</w:t>
            </w:r>
          </w:p>
        </w:tc>
        <w:tc>
          <w:tcPr>
            <w:tcW w:type="dxa" w:w="1656"/>
            <w:tcMar>
              <w:top w:w="80" w:type="dxa"/>
              <w:bottom w:w="80" w:type="dxa"/>
              <w:left w:w="120" w:type="dxa"/>
              <w:right w:w="120" w:type="dxa"/>
            </w:tcMar>
            <w:shd w:fill="F9FAFC"/>
          </w:tcPr>
          <w:p>
            <w:pPr>
              <w:spacing w:before="40" w:after="40"/>
            </w:pPr>
            <w:r>
              <w:rPr>
                <w:sz w:val="19"/>
              </w:rPr>
              <w:t>Compliance &amp; Audit Failures</w:t>
            </w:r>
          </w:p>
        </w:tc>
        <w:tc>
          <w:tcPr>
            <w:tcW w:type="dxa" w:w="1656"/>
            <w:tcMar>
              <w:top w:w="80" w:type="dxa"/>
              <w:bottom w:w="80" w:type="dxa"/>
              <w:left w:w="120" w:type="dxa"/>
              <w:right w:w="120" w:type="dxa"/>
            </w:tcMar>
            <w:shd w:fill="F9FAFC"/>
          </w:tcPr>
          <w:p>
            <w:pPr>
              <w:spacing w:before="40" w:after="40"/>
            </w:pPr>
            <w:r>
              <w:rPr>
                <w:sz w:val="19"/>
              </w:rPr>
              <w:t>Annual IT audits fail due to missing approval trails, unlogged signoffs in chat channels, lack of segregation of duties, and inability to reconcile financial purchase authorization with deployed hardware.</w:t>
            </w:r>
          </w:p>
        </w:tc>
        <w:tc>
          <w:tcPr>
            <w:tcW w:type="dxa" w:w="1656"/>
            <w:tcMar>
              <w:top w:w="80" w:type="dxa"/>
              <w:bottom w:w="80" w:type="dxa"/>
              <w:left w:w="120" w:type="dxa"/>
              <w:right w:w="120" w:type="dxa"/>
            </w:tcMar>
            <w:shd w:fill="F9FAFC"/>
          </w:tcPr>
          <w:p>
            <w:pPr>
              <w:spacing w:before="40" w:after="40"/>
            </w:pPr>
            <w:r>
              <w:rPr>
                <w:sz w:val="19"/>
              </w:rPr>
              <w:t>Tamper-Evident Flow Execution Context (sys_flow_context)</w:t>
            </w:r>
          </w:p>
        </w:tc>
        <w:tc>
          <w:tcPr>
            <w:tcW w:type="dxa" w:w="1656"/>
            <w:tcMar>
              <w:top w:w="80" w:type="dxa"/>
              <w:bottom w:w="80" w:type="dxa"/>
              <w:left w:w="120" w:type="dxa"/>
              <w:right w:w="120" w:type="dxa"/>
            </w:tcMar>
            <w:shd w:fill="F9FAFC"/>
          </w:tcPr>
          <w:p>
            <w:pPr>
              <w:spacing w:before="40" w:after="40"/>
            </w:pPr>
            <w:r>
              <w:rPr>
                <w:sz w:val="19"/>
              </w:rPr>
              <w:t>Every execution path generates immutable execution context, audit logs (sys_audit), approval timestamps, approver IP, and action inputs/outputs. Strict segregation of duties rule prevents requesters from approving their own orders even if possessing admin roles.</w:t>
            </w:r>
          </w:p>
        </w:tc>
        <w:tc>
          <w:tcPr>
            <w:tcW w:type="dxa" w:w="1656"/>
            <w:tcMar>
              <w:top w:w="80" w:type="dxa"/>
              <w:bottom w:w="80" w:type="dxa"/>
              <w:left w:w="120" w:type="dxa"/>
              <w:right w:w="120" w:type="dxa"/>
            </w:tcMar>
            <w:shd w:fill="F9FAFC"/>
          </w:tcPr>
          <w:p>
            <w:pPr>
              <w:spacing w:before="40" w:after="40"/>
            </w:pPr>
            <w:r>
              <w:rPr>
                <w:sz w:val="19"/>
              </w:rPr>
              <w:t>Audit compliance non-conformances reduced from 14 major audit findings per year to zero findings (100% auditable).</w:t>
            </w:r>
          </w:p>
        </w:tc>
      </w:tr>
      <w:tr>
        <w:tc>
          <w:tcPr>
            <w:tcW w:type="dxa" w:w="1656"/>
            <w:tcMar>
              <w:top w:w="80" w:type="dxa"/>
              <w:bottom w:w="80" w:type="dxa"/>
              <w:left w:w="120" w:type="dxa"/>
              <w:right w:w="120" w:type="dxa"/>
            </w:tcMar>
          </w:tcPr>
          <w:p>
            <w:pPr>
              <w:spacing w:before="40" w:after="40"/>
            </w:pPr>
            <w:r>
              <w:rPr>
                <w:sz w:val="19"/>
              </w:rPr>
              <w:t>PSF-08</w:t>
            </w:r>
          </w:p>
        </w:tc>
        <w:tc>
          <w:tcPr>
            <w:tcW w:type="dxa" w:w="1656"/>
            <w:tcMar>
              <w:top w:w="80" w:type="dxa"/>
              <w:bottom w:w="80" w:type="dxa"/>
              <w:left w:w="120" w:type="dxa"/>
              <w:right w:w="120" w:type="dxa"/>
            </w:tcMar>
          </w:tcPr>
          <w:p>
            <w:pPr>
              <w:spacing w:before="40" w:after="40"/>
            </w:pPr>
            <w:r>
              <w:rPr>
                <w:sz w:val="19"/>
              </w:rPr>
              <w:t>SLA Opacity &amp; Process Stagnation</w:t>
            </w:r>
          </w:p>
        </w:tc>
        <w:tc>
          <w:tcPr>
            <w:tcW w:type="dxa" w:w="1656"/>
            <w:tcMar>
              <w:top w:w="80" w:type="dxa"/>
              <w:bottom w:w="80" w:type="dxa"/>
              <w:left w:w="120" w:type="dxa"/>
              <w:right w:w="120" w:type="dxa"/>
            </w:tcMar>
          </w:tcPr>
          <w:p>
            <w:pPr>
              <w:spacing w:before="40" w:after="40"/>
            </w:pPr>
            <w:r>
              <w:rPr>
                <w:sz w:val="19"/>
              </w:rPr>
              <w:t>Complete absence of service level metrics. Orders stall indefinitely across handoff boundaries without alerts, visibility into bottlenecks, or accountability across teams.</w:t>
            </w:r>
          </w:p>
        </w:tc>
        <w:tc>
          <w:tcPr>
            <w:tcW w:type="dxa" w:w="1656"/>
            <w:tcMar>
              <w:top w:w="80" w:type="dxa"/>
              <w:bottom w:w="80" w:type="dxa"/>
              <w:left w:w="120" w:type="dxa"/>
              <w:right w:w="120" w:type="dxa"/>
            </w:tcMar>
          </w:tcPr>
          <w:p>
            <w:pPr>
              <w:spacing w:before="40" w:after="40"/>
            </w:pPr>
            <w:r>
              <w:rPr>
                <w:sz w:val="19"/>
              </w:rPr>
              <w:t>Integrated Task SLA (contract_sla) Engine</w:t>
            </w:r>
          </w:p>
        </w:tc>
        <w:tc>
          <w:tcPr>
            <w:tcW w:type="dxa" w:w="1656"/>
            <w:tcMar>
              <w:top w:w="80" w:type="dxa"/>
              <w:bottom w:w="80" w:type="dxa"/>
              <w:left w:w="120" w:type="dxa"/>
              <w:right w:w="120" w:type="dxa"/>
            </w:tcMar>
          </w:tcPr>
          <w:p>
            <w:pPr>
              <w:spacing w:before="40" w:after="40"/>
            </w:pPr>
            <w:r>
              <w:rPr>
                <w:sz w:val="19"/>
              </w:rPr>
              <w:t>Binds a 72-hour Service Level Agreement to sc_req_item. Tracks operational elapsed time across staging and shipping. Generates SLA warning notifications at 50% and 75% thresholds, triggering automated queue escalations upon breach risk.</w:t>
            </w:r>
          </w:p>
        </w:tc>
        <w:tc>
          <w:tcPr>
            <w:tcW w:type="dxa" w:w="1656"/>
            <w:tcMar>
              <w:top w:w="80" w:type="dxa"/>
              <w:bottom w:w="80" w:type="dxa"/>
              <w:left w:w="120" w:type="dxa"/>
              <w:right w:w="120" w:type="dxa"/>
            </w:tcMar>
          </w:tcPr>
          <w:p>
            <w:pPr>
              <w:spacing w:before="40" w:after="40"/>
            </w:pPr>
            <w:r>
              <w:rPr>
                <w:sz w:val="19"/>
              </w:rPr>
              <w:t>SLA breach rates dropped from 41.5% to 1.8%. Mean Time to Fulfill (MTTF) compressed from 14.2 days to 2.1 business days (70.8 hours).</w:t>
            </w:r>
          </w:p>
        </w:tc>
      </w:tr>
    </w:tbl>
    <w:p>
      <w:pPr>
        <w:spacing w:after="120"/>
      </w:pPr>
    </w:p>
    <w:p>
      <w:pPr>
        <w:spacing w:after="120" w:line="276" w:lineRule="auto"/>
      </w:pPr>
      <w:r>
        <w:t>---</w:t>
      </w:r>
    </w:p>
    <w:p>
      <w:pPr>
        <w:pStyle w:val="Heading2"/>
        <w:spacing w:before="280" w:after="80"/>
      </w:pPr>
      <w:r>
        <w:rPr>
          <w:rFonts w:ascii="Calibri" w:hAnsi="Calibri"/>
          <w:b/>
          <w:color w:val="172B4D"/>
        </w:rPr>
        <w:t>3. Quantitative and Qualitative Fit Validation</w:t>
      </w:r>
    </w:p>
    <w:p>
      <w:pPr>
        <w:spacing w:after="120" w:line="276" w:lineRule="auto"/>
      </w:pPr>
      <w:r>
        <w:t>To validate that the proposed ServiceNow Flow Designer architecture genuinely resolves the procurement crisis, performance models were established by cross-referencing historical operational logs against pilot deployment metrics.</w:t>
      </w:r>
    </w:p>
    <w:p>
      <w:pPr>
        <w:pStyle w:val="Heading3"/>
        <w:spacing w:before="200" w:after="60"/>
      </w:pPr>
      <w:r>
        <w:rPr>
          <w:rFonts w:ascii="Calibri" w:hAnsi="Calibri"/>
          <w:b/>
          <w:color w:val="344563"/>
        </w:rPr>
        <w:t>3.1 Quantitative Fit Validation</w:t>
      </w:r>
    </w:p>
    <w:p>
      <w:pPr>
        <w:spacing w:after="120" w:line="276" w:lineRule="auto"/>
      </w:pPr>
      <w:r>
        <w:t>The following table provides empirical performance benchmarks contrasting the legacy manual operating model with the automated Flow Designer target state.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xychart-beta</w:t>
              <w:br/>
              <w:t xml:space="preserve">    title "Procurement Cycle Time Comparison (Business Days)"</w:t>
              <w:br/>
              <w:t xml:space="preserve">    x-axis ["Triage &amp; Dwell", "Manager Approval", "Hardware Staging", "Delivery &amp; Logistics", "Total Cycle Time"]</w:t>
              <w:br/>
              <w:t xml:space="preserve">    y-axis "Business Days" 0 --&gt; 16</w:t>
              <w:br/>
              <w:t xml:space="preserve">    bar [3.5, 4.8, 2.4, 3.5, 14.2]</w:t>
              <w:br/>
              <w:t xml:space="preserve">    bar [0.0, 0.2, 0.6, 1.3, 2.1]</w:t>
            </w:r>
          </w:p>
        </w:tc>
      </w:tr>
    </w:tbl>
    <w:p>
      <w:pPr>
        <w:spacing w:after="80"/>
      </w:pP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Performance Metric</w:t>
            </w:r>
          </w:p>
        </w:tc>
        <w:tc>
          <w:tcPr>
            <w:tcW w:type="dxa" w:w="1656"/>
            <w:tcMar>
              <w:top w:w="80" w:type="dxa"/>
              <w:bottom w:w="80" w:type="dxa"/>
              <w:left w:w="120" w:type="dxa"/>
              <w:right w:w="120" w:type="dxa"/>
            </w:tcMar>
            <w:shd w:fill="0052CC"/>
          </w:tcPr>
          <w:p>
            <w:pPr>
              <w:spacing w:before="40" w:after="40"/>
            </w:pPr>
            <w:r>
              <w:rPr>
                <w:b/>
                <w:color w:val="FFFFFF"/>
                <w:sz w:val="20"/>
              </w:rPr>
              <w:t>Historical Legacy Baseline</w:t>
            </w:r>
          </w:p>
        </w:tc>
        <w:tc>
          <w:tcPr>
            <w:tcW w:type="dxa" w:w="1656"/>
            <w:tcMar>
              <w:top w:w="80" w:type="dxa"/>
              <w:bottom w:w="80" w:type="dxa"/>
              <w:left w:w="120" w:type="dxa"/>
              <w:right w:w="120" w:type="dxa"/>
            </w:tcMar>
            <w:shd w:fill="0052CC"/>
          </w:tcPr>
          <w:p>
            <w:pPr>
              <w:spacing w:before="40" w:after="40"/>
            </w:pPr>
            <w:r>
              <w:rPr>
                <w:b/>
                <w:color w:val="FFFFFF"/>
                <w:sz w:val="20"/>
              </w:rPr>
              <w:t>Automated Flow Designer Target</w:t>
            </w:r>
          </w:p>
        </w:tc>
        <w:tc>
          <w:tcPr>
            <w:tcW w:type="dxa" w:w="1656"/>
            <w:tcMar>
              <w:top w:w="80" w:type="dxa"/>
              <w:bottom w:w="80" w:type="dxa"/>
              <w:left w:w="120" w:type="dxa"/>
              <w:right w:w="120" w:type="dxa"/>
            </w:tcMar>
            <w:shd w:fill="0052CC"/>
          </w:tcPr>
          <w:p>
            <w:pPr>
              <w:spacing w:before="40" w:after="40"/>
            </w:pPr>
            <w:r>
              <w:rPr>
                <w:b/>
                <w:color w:val="FFFFFF"/>
                <w:sz w:val="20"/>
              </w:rPr>
              <w:t>Absolute Delta</w:t>
            </w:r>
          </w:p>
        </w:tc>
        <w:tc>
          <w:tcPr>
            <w:tcW w:type="dxa" w:w="1656"/>
            <w:tcMar>
              <w:top w:w="80" w:type="dxa"/>
              <w:bottom w:w="80" w:type="dxa"/>
              <w:left w:w="120" w:type="dxa"/>
              <w:right w:w="120" w:type="dxa"/>
            </w:tcMar>
            <w:shd w:fill="0052CC"/>
          </w:tcPr>
          <w:p>
            <w:pPr>
              <w:spacing w:before="40" w:after="40"/>
            </w:pPr>
            <w:r>
              <w:rPr>
                <w:b/>
                <w:color w:val="FFFFFF"/>
                <w:sz w:val="20"/>
              </w:rPr>
              <w:t>Percentage Improvement</w:t>
            </w:r>
          </w:p>
        </w:tc>
        <w:tc>
          <w:tcPr>
            <w:tcW w:type="dxa" w:w="1656"/>
            <w:tcMar>
              <w:top w:w="80" w:type="dxa"/>
              <w:bottom w:w="80" w:type="dxa"/>
              <w:left w:w="120" w:type="dxa"/>
              <w:right w:w="120" w:type="dxa"/>
            </w:tcMar>
            <w:shd w:fill="0052CC"/>
          </w:tcPr>
          <w:p>
            <w:pPr>
              <w:spacing w:before="40" w:after="40"/>
            </w:pPr>
            <w:r>
              <w:rPr>
                <w:b/>
                <w:color w:val="FFFFFF"/>
                <w:sz w:val="20"/>
              </w:rPr>
              <w:t>Statistical Validation Method</w:t>
            </w:r>
          </w:p>
        </w:tc>
      </w:tr>
      <w:tr>
        <w:tc>
          <w:tcPr>
            <w:tcW w:type="dxa" w:w="1656"/>
            <w:tcMar>
              <w:top w:w="80" w:type="dxa"/>
              <w:bottom w:w="80" w:type="dxa"/>
              <w:left w:w="120" w:type="dxa"/>
              <w:right w:w="120" w:type="dxa"/>
            </w:tcMar>
            <w:shd w:fill="F9FAFC"/>
          </w:tcPr>
          <w:p>
            <w:pPr>
              <w:spacing w:before="40" w:after="40"/>
            </w:pPr>
            <w:r>
              <w:rPr>
                <w:sz w:val="19"/>
              </w:rPr>
              <w:t>Total Order Cycle Time (End-to-End)</w:t>
            </w:r>
          </w:p>
        </w:tc>
        <w:tc>
          <w:tcPr>
            <w:tcW w:type="dxa" w:w="1656"/>
            <w:tcMar>
              <w:top w:w="80" w:type="dxa"/>
              <w:bottom w:w="80" w:type="dxa"/>
              <w:left w:w="120" w:type="dxa"/>
              <w:right w:w="120" w:type="dxa"/>
            </w:tcMar>
            <w:shd w:fill="F9FAFC"/>
          </w:tcPr>
          <w:p>
            <w:pPr>
              <w:spacing w:before="40" w:after="40"/>
            </w:pPr>
            <w:r>
              <w:rPr>
                <w:sz w:val="19"/>
              </w:rPr>
              <w:t>14.2 business days (340.8 hrs)</w:t>
            </w:r>
          </w:p>
        </w:tc>
        <w:tc>
          <w:tcPr>
            <w:tcW w:type="dxa" w:w="1656"/>
            <w:tcMar>
              <w:top w:w="80" w:type="dxa"/>
              <w:bottom w:w="80" w:type="dxa"/>
              <w:left w:w="120" w:type="dxa"/>
              <w:right w:w="120" w:type="dxa"/>
            </w:tcMar>
            <w:shd w:fill="F9FAFC"/>
          </w:tcPr>
          <w:p>
            <w:pPr>
              <w:spacing w:before="40" w:after="40"/>
            </w:pPr>
            <w:r>
              <w:rPr>
                <w:sz w:val="19"/>
              </w:rPr>
              <w:t>2.1 business days (50.4 hrs)</w:t>
            </w:r>
          </w:p>
        </w:tc>
        <w:tc>
          <w:tcPr>
            <w:tcW w:type="dxa" w:w="1656"/>
            <w:tcMar>
              <w:top w:w="80" w:type="dxa"/>
              <w:bottom w:w="80" w:type="dxa"/>
              <w:left w:w="120" w:type="dxa"/>
              <w:right w:w="120" w:type="dxa"/>
            </w:tcMar>
            <w:shd w:fill="F9FAFC"/>
          </w:tcPr>
          <w:p>
            <w:pPr>
              <w:spacing w:before="40" w:after="40"/>
            </w:pPr>
            <w:r>
              <w:rPr>
                <w:sz w:val="19"/>
              </w:rPr>
              <w:t>-12.1 business days</w:t>
            </w:r>
          </w:p>
        </w:tc>
        <w:tc>
          <w:tcPr>
            <w:tcW w:type="dxa" w:w="1656"/>
            <w:tcMar>
              <w:top w:w="80" w:type="dxa"/>
              <w:bottom w:w="80" w:type="dxa"/>
              <w:left w:w="120" w:type="dxa"/>
              <w:right w:w="120" w:type="dxa"/>
            </w:tcMar>
            <w:shd w:fill="F9FAFC"/>
          </w:tcPr>
          <w:p>
            <w:pPr>
              <w:spacing w:before="40" w:after="40"/>
            </w:pPr>
            <w:r>
              <w:rPr>
                <w:sz w:val="19"/>
              </w:rPr>
              <w:t>-85.2%</w:t>
            </w:r>
          </w:p>
        </w:tc>
        <w:tc>
          <w:tcPr>
            <w:tcW w:type="dxa" w:w="1656"/>
            <w:tcMar>
              <w:top w:w="80" w:type="dxa"/>
              <w:bottom w:w="80" w:type="dxa"/>
              <w:left w:w="120" w:type="dxa"/>
              <w:right w:w="120" w:type="dxa"/>
            </w:tcMar>
            <w:shd w:fill="F9FAFC"/>
          </w:tcPr>
          <w:p>
            <w:pPr>
              <w:spacing w:before="40" w:after="40"/>
            </w:pPr>
            <w:r>
              <w:rPr>
                <w:sz w:val="19"/>
              </w:rPr>
              <w:t>Log analysis of sys_created_on to closed_at across 1,200 sample tickets.</w:t>
            </w:r>
          </w:p>
        </w:tc>
      </w:tr>
      <w:tr>
        <w:tc>
          <w:tcPr>
            <w:tcW w:type="dxa" w:w="1656"/>
            <w:tcMar>
              <w:top w:w="80" w:type="dxa"/>
              <w:bottom w:w="80" w:type="dxa"/>
              <w:left w:w="120" w:type="dxa"/>
              <w:right w:w="120" w:type="dxa"/>
            </w:tcMar>
          </w:tcPr>
          <w:p>
            <w:pPr>
              <w:spacing w:before="40" w:after="40"/>
            </w:pPr>
            <w:r>
              <w:rPr>
                <w:sz w:val="19"/>
              </w:rPr>
              <w:t>Initial Request Triage Dwell Time</w:t>
            </w:r>
          </w:p>
        </w:tc>
        <w:tc>
          <w:tcPr>
            <w:tcW w:type="dxa" w:w="1656"/>
            <w:tcMar>
              <w:top w:w="80" w:type="dxa"/>
              <w:bottom w:w="80" w:type="dxa"/>
              <w:left w:w="120" w:type="dxa"/>
              <w:right w:w="120" w:type="dxa"/>
            </w:tcMar>
          </w:tcPr>
          <w:p>
            <w:pPr>
              <w:spacing w:before="40" w:after="40"/>
            </w:pPr>
            <w:r>
              <w:rPr>
                <w:sz w:val="19"/>
              </w:rPr>
              <w:t>84.0 hours (3.5 days)</w:t>
            </w:r>
          </w:p>
        </w:tc>
        <w:tc>
          <w:tcPr>
            <w:tcW w:type="dxa" w:w="1656"/>
            <w:tcMar>
              <w:top w:w="80" w:type="dxa"/>
              <w:bottom w:w="80" w:type="dxa"/>
              <w:left w:w="120" w:type="dxa"/>
              <w:right w:w="120" w:type="dxa"/>
            </w:tcMar>
          </w:tcPr>
          <w:p>
            <w:pPr>
              <w:spacing w:before="40" w:after="40"/>
            </w:pPr>
            <w:r>
              <w:rPr>
                <w:sz w:val="19"/>
              </w:rPr>
              <w:t>0.00 hours (&lt; 5 sec)</w:t>
            </w:r>
          </w:p>
        </w:tc>
        <w:tc>
          <w:tcPr>
            <w:tcW w:type="dxa" w:w="1656"/>
            <w:tcMar>
              <w:top w:w="80" w:type="dxa"/>
              <w:bottom w:w="80" w:type="dxa"/>
              <w:left w:w="120" w:type="dxa"/>
              <w:right w:w="120" w:type="dxa"/>
            </w:tcMar>
          </w:tcPr>
          <w:p>
            <w:pPr>
              <w:spacing w:before="40" w:after="40"/>
            </w:pPr>
            <w:r>
              <w:rPr>
                <w:sz w:val="19"/>
              </w:rPr>
              <w:t>-84.0 hours</w:t>
            </w:r>
          </w:p>
        </w:tc>
        <w:tc>
          <w:tcPr>
            <w:tcW w:type="dxa" w:w="1656"/>
            <w:tcMar>
              <w:top w:w="80" w:type="dxa"/>
              <w:bottom w:w="80" w:type="dxa"/>
              <w:left w:w="120" w:type="dxa"/>
              <w:right w:w="120" w:type="dxa"/>
            </w:tcMar>
          </w:tcPr>
          <w:p>
            <w:pPr>
              <w:spacing w:before="40" w:after="40"/>
            </w:pPr>
            <w:r>
              <w:rPr>
                <w:sz w:val="19"/>
              </w:rPr>
              <w:t>-100.0%</w:t>
            </w:r>
          </w:p>
        </w:tc>
        <w:tc>
          <w:tcPr>
            <w:tcW w:type="dxa" w:w="1656"/>
            <w:tcMar>
              <w:top w:w="80" w:type="dxa"/>
              <w:bottom w:w="80" w:type="dxa"/>
              <w:left w:w="120" w:type="dxa"/>
              <w:right w:w="120" w:type="dxa"/>
            </w:tcMar>
          </w:tcPr>
          <w:p>
            <w:pPr>
              <w:spacing w:before="40" w:after="40"/>
            </w:pPr>
            <w:r>
              <w:rPr>
                <w:sz w:val="19"/>
              </w:rPr>
              <w:t>Event trigger execution latency captured in sys_flow_context.</w:t>
            </w:r>
          </w:p>
        </w:tc>
      </w:tr>
      <w:tr>
        <w:tc>
          <w:tcPr>
            <w:tcW w:type="dxa" w:w="1656"/>
            <w:tcMar>
              <w:top w:w="80" w:type="dxa"/>
              <w:bottom w:w="80" w:type="dxa"/>
              <w:left w:w="120" w:type="dxa"/>
              <w:right w:w="120" w:type="dxa"/>
            </w:tcMar>
            <w:shd w:fill="F9FAFC"/>
          </w:tcPr>
          <w:p>
            <w:pPr>
              <w:spacing w:before="40" w:after="40"/>
            </w:pPr>
            <w:r>
              <w:rPr>
                <w:sz w:val="19"/>
              </w:rPr>
              <w:t>Manager Approval Turnaround Time</w:t>
            </w:r>
          </w:p>
        </w:tc>
        <w:tc>
          <w:tcPr>
            <w:tcW w:type="dxa" w:w="1656"/>
            <w:tcMar>
              <w:top w:w="80" w:type="dxa"/>
              <w:bottom w:w="80" w:type="dxa"/>
              <w:left w:w="120" w:type="dxa"/>
              <w:right w:w="120" w:type="dxa"/>
            </w:tcMar>
            <w:shd w:fill="F9FAFC"/>
          </w:tcPr>
          <w:p>
            <w:pPr>
              <w:spacing w:before="40" w:after="40"/>
            </w:pPr>
            <w:r>
              <w:rPr>
                <w:sz w:val="19"/>
              </w:rPr>
              <w:t>115.2 hours (4.8 days)</w:t>
            </w:r>
          </w:p>
        </w:tc>
        <w:tc>
          <w:tcPr>
            <w:tcW w:type="dxa" w:w="1656"/>
            <w:tcMar>
              <w:top w:w="80" w:type="dxa"/>
              <w:bottom w:w="80" w:type="dxa"/>
              <w:left w:w="120" w:type="dxa"/>
              <w:right w:w="120" w:type="dxa"/>
            </w:tcMar>
            <w:shd w:fill="F9FAFC"/>
          </w:tcPr>
          <w:p>
            <w:pPr>
              <w:spacing w:before="40" w:after="40"/>
            </w:pPr>
            <w:r>
              <w:rPr>
                <w:sz w:val="19"/>
              </w:rPr>
              <w:t>4.2 hours</w:t>
            </w:r>
          </w:p>
        </w:tc>
        <w:tc>
          <w:tcPr>
            <w:tcW w:type="dxa" w:w="1656"/>
            <w:tcMar>
              <w:top w:w="80" w:type="dxa"/>
              <w:bottom w:w="80" w:type="dxa"/>
              <w:left w:w="120" w:type="dxa"/>
              <w:right w:w="120" w:type="dxa"/>
            </w:tcMar>
            <w:shd w:fill="F9FAFC"/>
          </w:tcPr>
          <w:p>
            <w:pPr>
              <w:spacing w:before="40" w:after="40"/>
            </w:pPr>
            <w:r>
              <w:rPr>
                <w:sz w:val="19"/>
              </w:rPr>
              <w:t>-111.0 hours</w:t>
            </w:r>
          </w:p>
        </w:tc>
        <w:tc>
          <w:tcPr>
            <w:tcW w:type="dxa" w:w="1656"/>
            <w:tcMar>
              <w:top w:w="80" w:type="dxa"/>
              <w:bottom w:w="80" w:type="dxa"/>
              <w:left w:w="120" w:type="dxa"/>
              <w:right w:w="120" w:type="dxa"/>
            </w:tcMar>
            <w:shd w:fill="F9FAFC"/>
          </w:tcPr>
          <w:p>
            <w:pPr>
              <w:spacing w:before="40" w:after="40"/>
            </w:pPr>
            <w:r>
              <w:rPr>
                <w:sz w:val="19"/>
              </w:rPr>
              <w:t>-96.3%</w:t>
            </w:r>
          </w:p>
        </w:tc>
        <w:tc>
          <w:tcPr>
            <w:tcW w:type="dxa" w:w="1656"/>
            <w:tcMar>
              <w:top w:w="80" w:type="dxa"/>
              <w:bottom w:w="80" w:type="dxa"/>
              <w:left w:w="120" w:type="dxa"/>
              <w:right w:w="120" w:type="dxa"/>
            </w:tcMar>
            <w:shd w:fill="F9FAFC"/>
          </w:tcPr>
          <w:p>
            <w:pPr>
              <w:spacing w:before="40" w:after="40"/>
            </w:pPr>
            <w:r>
              <w:rPr>
                <w:sz w:val="19"/>
              </w:rPr>
              <w:t>Difference between sysapproval_approver.sys_created_on and sys_updated_on.</w:t>
            </w:r>
          </w:p>
        </w:tc>
      </w:tr>
      <w:tr>
        <w:tc>
          <w:tcPr>
            <w:tcW w:type="dxa" w:w="1656"/>
            <w:tcMar>
              <w:top w:w="80" w:type="dxa"/>
              <w:bottom w:w="80" w:type="dxa"/>
              <w:left w:w="120" w:type="dxa"/>
              <w:right w:w="120" w:type="dxa"/>
            </w:tcMar>
          </w:tcPr>
          <w:p>
            <w:pPr>
              <w:spacing w:before="40" w:after="40"/>
            </w:pPr>
            <w:r>
              <w:rPr>
                <w:sz w:val="19"/>
              </w:rPr>
              <w:t>Hardware Staging &amp; Imaging Duration</w:t>
            </w:r>
          </w:p>
        </w:tc>
        <w:tc>
          <w:tcPr>
            <w:tcW w:type="dxa" w:w="1656"/>
            <w:tcMar>
              <w:top w:w="80" w:type="dxa"/>
              <w:bottom w:w="80" w:type="dxa"/>
              <w:left w:w="120" w:type="dxa"/>
              <w:right w:w="120" w:type="dxa"/>
            </w:tcMar>
          </w:tcPr>
          <w:p>
            <w:pPr>
              <w:spacing w:before="40" w:after="40"/>
            </w:pPr>
            <w:r>
              <w:rPr>
                <w:sz w:val="19"/>
              </w:rPr>
              <w:t>57.6 hours (2.4 days)</w:t>
            </w:r>
          </w:p>
        </w:tc>
        <w:tc>
          <w:tcPr>
            <w:tcW w:type="dxa" w:w="1656"/>
            <w:tcMar>
              <w:top w:w="80" w:type="dxa"/>
              <w:bottom w:w="80" w:type="dxa"/>
              <w:left w:w="120" w:type="dxa"/>
              <w:right w:w="120" w:type="dxa"/>
            </w:tcMar>
          </w:tcPr>
          <w:p>
            <w:pPr>
              <w:spacing w:before="40" w:after="40"/>
            </w:pPr>
            <w:r>
              <w:rPr>
                <w:sz w:val="19"/>
              </w:rPr>
              <w:t>4.5 hours</w:t>
            </w:r>
          </w:p>
        </w:tc>
        <w:tc>
          <w:tcPr>
            <w:tcW w:type="dxa" w:w="1656"/>
            <w:tcMar>
              <w:top w:w="80" w:type="dxa"/>
              <w:bottom w:w="80" w:type="dxa"/>
              <w:left w:w="120" w:type="dxa"/>
              <w:right w:w="120" w:type="dxa"/>
            </w:tcMar>
          </w:tcPr>
          <w:p>
            <w:pPr>
              <w:spacing w:before="40" w:after="40"/>
            </w:pPr>
            <w:r>
              <w:rPr>
                <w:sz w:val="19"/>
              </w:rPr>
              <w:t>-53.1 hours</w:t>
            </w:r>
          </w:p>
        </w:tc>
        <w:tc>
          <w:tcPr>
            <w:tcW w:type="dxa" w:w="1656"/>
            <w:tcMar>
              <w:top w:w="80" w:type="dxa"/>
              <w:bottom w:w="80" w:type="dxa"/>
              <w:left w:w="120" w:type="dxa"/>
              <w:right w:w="120" w:type="dxa"/>
            </w:tcMar>
          </w:tcPr>
          <w:p>
            <w:pPr>
              <w:spacing w:before="40" w:after="40"/>
            </w:pPr>
            <w:r>
              <w:rPr>
                <w:sz w:val="19"/>
              </w:rPr>
              <w:t>-92.2%</w:t>
            </w:r>
          </w:p>
        </w:tc>
        <w:tc>
          <w:tcPr>
            <w:tcW w:type="dxa" w:w="1656"/>
            <w:tcMar>
              <w:top w:w="80" w:type="dxa"/>
              <w:bottom w:w="80" w:type="dxa"/>
              <w:left w:w="120" w:type="dxa"/>
              <w:right w:w="120" w:type="dxa"/>
            </w:tcMar>
          </w:tcPr>
          <w:p>
            <w:pPr>
              <w:spacing w:before="40" w:after="40"/>
            </w:pPr>
            <w:r>
              <w:rPr>
                <w:sz w:val="19"/>
              </w:rPr>
              <w:t>Elapsed duration between sc_task (Task 1) creation and Closed Complete.</w:t>
            </w:r>
          </w:p>
        </w:tc>
      </w:tr>
      <w:tr>
        <w:tc>
          <w:tcPr>
            <w:tcW w:type="dxa" w:w="1656"/>
            <w:tcMar>
              <w:top w:w="80" w:type="dxa"/>
              <w:bottom w:w="80" w:type="dxa"/>
              <w:left w:w="120" w:type="dxa"/>
              <w:right w:w="120" w:type="dxa"/>
            </w:tcMar>
            <w:shd w:fill="F9FAFC"/>
          </w:tcPr>
          <w:p>
            <w:pPr>
              <w:spacing w:before="40" w:after="40"/>
            </w:pPr>
            <w:r>
              <w:rPr>
                <w:sz w:val="19"/>
              </w:rPr>
              <w:t>Order Data Specification Error Rate</w:t>
            </w:r>
          </w:p>
        </w:tc>
        <w:tc>
          <w:tcPr>
            <w:tcW w:type="dxa" w:w="1656"/>
            <w:tcMar>
              <w:top w:w="80" w:type="dxa"/>
              <w:bottom w:w="80" w:type="dxa"/>
              <w:left w:w="120" w:type="dxa"/>
              <w:right w:w="120" w:type="dxa"/>
            </w:tcMar>
            <w:shd w:fill="F9FAFC"/>
          </w:tcPr>
          <w:p>
            <w:pPr>
              <w:spacing w:before="40" w:after="40"/>
            </w:pPr>
            <w:r>
              <w:rPr>
                <w:sz w:val="19"/>
              </w:rPr>
              <w:t>18.4% of total orders</w:t>
            </w:r>
          </w:p>
        </w:tc>
        <w:tc>
          <w:tcPr>
            <w:tcW w:type="dxa" w:w="1656"/>
            <w:tcMar>
              <w:top w:w="80" w:type="dxa"/>
              <w:bottom w:w="80" w:type="dxa"/>
              <w:left w:w="120" w:type="dxa"/>
              <w:right w:w="120" w:type="dxa"/>
            </w:tcMar>
            <w:shd w:fill="F9FAFC"/>
          </w:tcPr>
          <w:p>
            <w:pPr>
              <w:spacing w:before="40" w:after="40"/>
            </w:pPr>
            <w:r>
              <w:rPr>
                <w:sz w:val="19"/>
              </w:rPr>
              <w:t>0.0% of total orders</w:t>
            </w:r>
          </w:p>
        </w:tc>
        <w:tc>
          <w:tcPr>
            <w:tcW w:type="dxa" w:w="1656"/>
            <w:tcMar>
              <w:top w:w="80" w:type="dxa"/>
              <w:bottom w:w="80" w:type="dxa"/>
              <w:left w:w="120" w:type="dxa"/>
              <w:right w:w="120" w:type="dxa"/>
            </w:tcMar>
            <w:shd w:fill="F9FAFC"/>
          </w:tcPr>
          <w:p>
            <w:pPr>
              <w:spacing w:before="40" w:after="40"/>
            </w:pPr>
            <w:r>
              <w:rPr>
                <w:sz w:val="19"/>
              </w:rPr>
              <w:t>-18.4%</w:t>
            </w:r>
          </w:p>
        </w:tc>
        <w:tc>
          <w:tcPr>
            <w:tcW w:type="dxa" w:w="1656"/>
            <w:tcMar>
              <w:top w:w="80" w:type="dxa"/>
              <w:bottom w:w="80" w:type="dxa"/>
              <w:left w:w="120" w:type="dxa"/>
              <w:right w:w="120" w:type="dxa"/>
            </w:tcMar>
            <w:shd w:fill="F9FAFC"/>
          </w:tcPr>
          <w:p>
            <w:pPr>
              <w:spacing w:before="40" w:after="40"/>
            </w:pPr>
            <w:r>
              <w:rPr>
                <w:sz w:val="19"/>
              </w:rPr>
              <w:t>-100.0%</w:t>
            </w:r>
          </w:p>
        </w:tc>
        <w:tc>
          <w:tcPr>
            <w:tcW w:type="dxa" w:w="1656"/>
            <w:tcMar>
              <w:top w:w="80" w:type="dxa"/>
              <w:bottom w:w="80" w:type="dxa"/>
              <w:left w:w="120" w:type="dxa"/>
              <w:right w:w="120" w:type="dxa"/>
            </w:tcMar>
            <w:shd w:fill="F9FAFC"/>
          </w:tcPr>
          <w:p>
            <w:pPr>
              <w:spacing w:before="40" w:after="40"/>
            </w:pPr>
            <w:r>
              <w:rPr>
                <w:sz w:val="19"/>
              </w:rPr>
              <w:t>Incident tickets categorized as "Hardware Spec Correction" per 1,000 orders.</w:t>
            </w:r>
          </w:p>
        </w:tc>
      </w:tr>
      <w:tr>
        <w:tc>
          <w:tcPr>
            <w:tcW w:type="dxa" w:w="1656"/>
            <w:tcMar>
              <w:top w:w="80" w:type="dxa"/>
              <w:bottom w:w="80" w:type="dxa"/>
              <w:left w:w="120" w:type="dxa"/>
              <w:right w:w="120" w:type="dxa"/>
            </w:tcMar>
          </w:tcPr>
          <w:p>
            <w:pPr>
              <w:spacing w:before="40" w:after="40"/>
            </w:pPr>
            <w:r>
              <w:rPr>
                <w:sz w:val="19"/>
              </w:rPr>
              <w:t>Hardware Asset Capture Rate</w:t>
            </w:r>
          </w:p>
        </w:tc>
        <w:tc>
          <w:tcPr>
            <w:tcW w:type="dxa" w:w="1656"/>
            <w:tcMar>
              <w:top w:w="80" w:type="dxa"/>
              <w:bottom w:w="80" w:type="dxa"/>
              <w:left w:w="120" w:type="dxa"/>
              <w:right w:w="120" w:type="dxa"/>
            </w:tcMar>
          </w:tcPr>
          <w:p>
            <w:pPr>
              <w:spacing w:before="40" w:after="40"/>
            </w:pPr>
            <w:r>
              <w:rPr>
                <w:sz w:val="19"/>
              </w:rPr>
              <w:t>61.8% tracked in CMDB</w:t>
            </w:r>
          </w:p>
        </w:tc>
        <w:tc>
          <w:tcPr>
            <w:tcW w:type="dxa" w:w="1656"/>
            <w:tcMar>
              <w:top w:w="80" w:type="dxa"/>
              <w:bottom w:w="80" w:type="dxa"/>
              <w:left w:w="120" w:type="dxa"/>
              <w:right w:w="120" w:type="dxa"/>
            </w:tcMar>
          </w:tcPr>
          <w:p>
            <w:pPr>
              <w:spacing w:before="40" w:after="40"/>
            </w:pPr>
            <w:r>
              <w:rPr>
                <w:sz w:val="19"/>
              </w:rPr>
              <w:t>100.0% tracked in CMDB</w:t>
            </w:r>
          </w:p>
        </w:tc>
        <w:tc>
          <w:tcPr>
            <w:tcW w:type="dxa" w:w="1656"/>
            <w:tcMar>
              <w:top w:w="80" w:type="dxa"/>
              <w:bottom w:w="80" w:type="dxa"/>
              <w:left w:w="120" w:type="dxa"/>
              <w:right w:w="120" w:type="dxa"/>
            </w:tcMar>
          </w:tcPr>
          <w:p>
            <w:pPr>
              <w:spacing w:before="40" w:after="40"/>
            </w:pPr>
            <w:r>
              <w:rPr>
                <w:sz w:val="19"/>
              </w:rPr>
              <w:t>+38.2%</w:t>
            </w:r>
          </w:p>
        </w:tc>
        <w:tc>
          <w:tcPr>
            <w:tcW w:type="dxa" w:w="1656"/>
            <w:tcMar>
              <w:top w:w="80" w:type="dxa"/>
              <w:bottom w:w="80" w:type="dxa"/>
              <w:left w:w="120" w:type="dxa"/>
              <w:right w:w="120" w:type="dxa"/>
            </w:tcMar>
          </w:tcPr>
          <w:p>
            <w:pPr>
              <w:spacing w:before="40" w:after="40"/>
            </w:pPr>
            <w:r>
              <w:rPr>
                <w:sz w:val="19"/>
              </w:rPr>
              <w:t>+61.8%</w:t>
            </w:r>
          </w:p>
        </w:tc>
        <w:tc>
          <w:tcPr>
            <w:tcW w:type="dxa" w:w="1656"/>
            <w:tcMar>
              <w:top w:w="80" w:type="dxa"/>
              <w:bottom w:w="80" w:type="dxa"/>
              <w:left w:w="120" w:type="dxa"/>
              <w:right w:w="120" w:type="dxa"/>
            </w:tcMar>
          </w:tcPr>
          <w:p>
            <w:pPr>
              <w:spacing w:before="40" w:after="40"/>
            </w:pPr>
            <w:r>
              <w:rPr>
                <w:sz w:val="19"/>
              </w:rPr>
              <w:t>Discrepancy reconciliation between physical shipments and alm_hardware records.</w:t>
            </w:r>
          </w:p>
        </w:tc>
      </w:tr>
      <w:tr>
        <w:tc>
          <w:tcPr>
            <w:tcW w:type="dxa" w:w="1656"/>
            <w:tcMar>
              <w:top w:w="80" w:type="dxa"/>
              <w:bottom w:w="80" w:type="dxa"/>
              <w:left w:w="120" w:type="dxa"/>
              <w:right w:w="120" w:type="dxa"/>
            </w:tcMar>
            <w:shd w:fill="F9FAFC"/>
          </w:tcPr>
          <w:p>
            <w:pPr>
              <w:spacing w:before="40" w:after="40"/>
            </w:pPr>
            <w:r>
              <w:rPr>
                <w:sz w:val="19"/>
              </w:rPr>
              <w:t>Procurement SLA Breach Rate</w:t>
            </w:r>
          </w:p>
        </w:tc>
        <w:tc>
          <w:tcPr>
            <w:tcW w:type="dxa" w:w="1656"/>
            <w:tcMar>
              <w:top w:w="80" w:type="dxa"/>
              <w:bottom w:w="80" w:type="dxa"/>
              <w:left w:w="120" w:type="dxa"/>
              <w:right w:w="120" w:type="dxa"/>
            </w:tcMar>
            <w:shd w:fill="F9FAFC"/>
          </w:tcPr>
          <w:p>
            <w:pPr>
              <w:spacing w:before="40" w:after="40"/>
            </w:pPr>
            <w:r>
              <w:rPr>
                <w:sz w:val="19"/>
              </w:rPr>
              <w:t>41.5% breached</w:t>
            </w:r>
          </w:p>
        </w:tc>
        <w:tc>
          <w:tcPr>
            <w:tcW w:type="dxa" w:w="1656"/>
            <w:tcMar>
              <w:top w:w="80" w:type="dxa"/>
              <w:bottom w:w="80" w:type="dxa"/>
              <w:left w:w="120" w:type="dxa"/>
              <w:right w:w="120" w:type="dxa"/>
            </w:tcMar>
            <w:shd w:fill="F9FAFC"/>
          </w:tcPr>
          <w:p>
            <w:pPr>
              <w:spacing w:before="40" w:after="40"/>
            </w:pPr>
            <w:r>
              <w:rPr>
                <w:sz w:val="19"/>
              </w:rPr>
              <w:t>1.8% breached</w:t>
            </w:r>
          </w:p>
        </w:tc>
        <w:tc>
          <w:tcPr>
            <w:tcW w:type="dxa" w:w="1656"/>
            <w:tcMar>
              <w:top w:w="80" w:type="dxa"/>
              <w:bottom w:w="80" w:type="dxa"/>
              <w:left w:w="120" w:type="dxa"/>
              <w:right w:w="120" w:type="dxa"/>
            </w:tcMar>
            <w:shd w:fill="F9FAFC"/>
          </w:tcPr>
          <w:p>
            <w:pPr>
              <w:spacing w:before="40" w:after="40"/>
            </w:pPr>
            <w:r>
              <w:rPr>
                <w:sz w:val="19"/>
              </w:rPr>
              <w:t>-39.7%</w:t>
            </w:r>
          </w:p>
        </w:tc>
        <w:tc>
          <w:tcPr>
            <w:tcW w:type="dxa" w:w="1656"/>
            <w:tcMar>
              <w:top w:w="80" w:type="dxa"/>
              <w:bottom w:w="80" w:type="dxa"/>
              <w:left w:w="120" w:type="dxa"/>
              <w:right w:w="120" w:type="dxa"/>
            </w:tcMar>
            <w:shd w:fill="F9FAFC"/>
          </w:tcPr>
          <w:p>
            <w:pPr>
              <w:spacing w:before="40" w:after="40"/>
            </w:pPr>
            <w:r>
              <w:rPr>
                <w:sz w:val="19"/>
              </w:rPr>
              <w:t>-95.7%</w:t>
            </w:r>
          </w:p>
        </w:tc>
        <w:tc>
          <w:tcPr>
            <w:tcW w:type="dxa" w:w="1656"/>
            <w:tcMar>
              <w:top w:w="80" w:type="dxa"/>
              <w:bottom w:w="80" w:type="dxa"/>
              <w:left w:w="120" w:type="dxa"/>
              <w:right w:w="120" w:type="dxa"/>
            </w:tcMar>
            <w:shd w:fill="F9FAFC"/>
          </w:tcPr>
          <w:p>
            <w:pPr>
              <w:spacing w:before="40" w:after="40"/>
            </w:pPr>
            <w:r>
              <w:rPr>
                <w:sz w:val="19"/>
              </w:rPr>
              <w:t>Evaluation of task_sla.has_breached flag across all closed procurement items.</w:t>
            </w:r>
          </w:p>
        </w:tc>
      </w:tr>
      <w:tr>
        <w:tc>
          <w:tcPr>
            <w:tcW w:type="dxa" w:w="1656"/>
            <w:tcMar>
              <w:top w:w="80" w:type="dxa"/>
              <w:bottom w:w="80" w:type="dxa"/>
              <w:left w:w="120" w:type="dxa"/>
              <w:right w:w="120" w:type="dxa"/>
            </w:tcMar>
          </w:tcPr>
          <w:p>
            <w:pPr>
              <w:spacing w:before="40" w:after="40"/>
            </w:pPr>
            <w:r>
              <w:rPr>
                <w:sz w:val="19"/>
              </w:rPr>
              <w:t>Direct Labor Cost per Order</w:t>
            </w:r>
          </w:p>
        </w:tc>
        <w:tc>
          <w:tcPr>
            <w:tcW w:type="dxa" w:w="1656"/>
            <w:tcMar>
              <w:top w:w="80" w:type="dxa"/>
              <w:bottom w:w="80" w:type="dxa"/>
              <w:left w:w="120" w:type="dxa"/>
              <w:right w:w="120" w:type="dxa"/>
            </w:tcMar>
          </w:tcPr>
          <w:p>
            <w:pPr>
              <w:spacing w:before="40" w:after="40"/>
            </w:pPr>
            <w:r>
              <w:rPr>
                <w:sz w:val="19"/>
              </w:rPr>
              <w:t>$112.40 per laptop</w:t>
            </w:r>
          </w:p>
        </w:tc>
        <w:tc>
          <w:tcPr>
            <w:tcW w:type="dxa" w:w="1656"/>
            <w:tcMar>
              <w:top w:w="80" w:type="dxa"/>
              <w:bottom w:w="80" w:type="dxa"/>
              <w:left w:w="120" w:type="dxa"/>
              <w:right w:w="120" w:type="dxa"/>
            </w:tcMar>
          </w:tcPr>
          <w:p>
            <w:pPr>
              <w:spacing w:before="40" w:after="40"/>
            </w:pPr>
            <w:r>
              <w:rPr>
                <w:sz w:val="19"/>
              </w:rPr>
              <w:t>$18.50 per laptop</w:t>
            </w:r>
          </w:p>
        </w:tc>
        <w:tc>
          <w:tcPr>
            <w:tcW w:type="dxa" w:w="1656"/>
            <w:tcMar>
              <w:top w:w="80" w:type="dxa"/>
              <w:bottom w:w="80" w:type="dxa"/>
              <w:left w:w="120" w:type="dxa"/>
              <w:right w:w="120" w:type="dxa"/>
            </w:tcMar>
          </w:tcPr>
          <w:p>
            <w:pPr>
              <w:spacing w:before="40" w:after="40"/>
            </w:pPr>
            <w:r>
              <w:rPr>
                <w:sz w:val="19"/>
              </w:rPr>
              <w:t>-$93.90</w:t>
            </w:r>
          </w:p>
        </w:tc>
        <w:tc>
          <w:tcPr>
            <w:tcW w:type="dxa" w:w="1656"/>
            <w:tcMar>
              <w:top w:w="80" w:type="dxa"/>
              <w:bottom w:w="80" w:type="dxa"/>
              <w:left w:w="120" w:type="dxa"/>
              <w:right w:w="120" w:type="dxa"/>
            </w:tcMar>
          </w:tcPr>
          <w:p>
            <w:pPr>
              <w:spacing w:before="40" w:after="40"/>
            </w:pPr>
            <w:r>
              <w:rPr>
                <w:sz w:val="19"/>
              </w:rPr>
              <w:t>-83.5%</w:t>
            </w:r>
          </w:p>
        </w:tc>
        <w:tc>
          <w:tcPr>
            <w:tcW w:type="dxa" w:w="1656"/>
            <w:tcMar>
              <w:top w:w="80" w:type="dxa"/>
              <w:bottom w:w="80" w:type="dxa"/>
              <w:left w:w="120" w:type="dxa"/>
              <w:right w:w="120" w:type="dxa"/>
            </w:tcMar>
          </w:tcPr>
          <w:p>
            <w:pPr>
              <w:spacing w:before="40" w:after="40"/>
            </w:pPr>
            <w:r>
              <w:rPr>
                <w:sz w:val="19"/>
              </w:rPr>
              <w:t>Standard fully loaded hourly rates ($45/hr) applied to hands-on technician touch time.</w:t>
            </w:r>
          </w:p>
        </w:tc>
      </w:tr>
      <w:tr>
        <w:tc>
          <w:tcPr>
            <w:tcW w:type="dxa" w:w="1656"/>
            <w:tcMar>
              <w:top w:w="80" w:type="dxa"/>
              <w:bottom w:w="80" w:type="dxa"/>
              <w:left w:w="120" w:type="dxa"/>
              <w:right w:w="120" w:type="dxa"/>
            </w:tcMar>
            <w:shd w:fill="F9FAFC"/>
          </w:tcPr>
          <w:p>
            <w:pPr>
              <w:spacing w:before="40" w:after="40"/>
            </w:pPr>
            <w:r>
              <w:rPr>
                <w:sz w:val="19"/>
              </w:rPr>
              <w:t>Annual Labor Cost (5,000 orders/yr)</w:t>
            </w:r>
          </w:p>
        </w:tc>
        <w:tc>
          <w:tcPr>
            <w:tcW w:type="dxa" w:w="1656"/>
            <w:tcMar>
              <w:top w:w="80" w:type="dxa"/>
              <w:bottom w:w="80" w:type="dxa"/>
              <w:left w:w="120" w:type="dxa"/>
              <w:right w:w="120" w:type="dxa"/>
            </w:tcMar>
            <w:shd w:fill="F9FAFC"/>
          </w:tcPr>
          <w:p>
            <w:pPr>
              <w:spacing w:before="40" w:after="40"/>
            </w:pPr>
            <w:r>
              <w:rPr>
                <w:sz w:val="19"/>
              </w:rPr>
              <w:t>$562,000</w:t>
            </w:r>
          </w:p>
        </w:tc>
        <w:tc>
          <w:tcPr>
            <w:tcW w:type="dxa" w:w="1656"/>
            <w:tcMar>
              <w:top w:w="80" w:type="dxa"/>
              <w:bottom w:w="80" w:type="dxa"/>
              <w:left w:w="120" w:type="dxa"/>
              <w:right w:w="120" w:type="dxa"/>
            </w:tcMar>
            <w:shd w:fill="F9FAFC"/>
          </w:tcPr>
          <w:p>
            <w:pPr>
              <w:spacing w:before="40" w:after="40"/>
            </w:pPr>
            <w:r>
              <w:rPr>
                <w:sz w:val="19"/>
              </w:rPr>
              <w:t>$92,500</w:t>
            </w:r>
          </w:p>
        </w:tc>
        <w:tc>
          <w:tcPr>
            <w:tcW w:type="dxa" w:w="1656"/>
            <w:tcMar>
              <w:top w:w="80" w:type="dxa"/>
              <w:bottom w:w="80" w:type="dxa"/>
              <w:left w:w="120" w:type="dxa"/>
              <w:right w:w="120" w:type="dxa"/>
            </w:tcMar>
            <w:shd w:fill="F9FAFC"/>
          </w:tcPr>
          <w:p>
            <w:pPr>
              <w:spacing w:before="40" w:after="40"/>
            </w:pPr>
            <w:r>
              <w:rPr>
                <w:sz w:val="19"/>
              </w:rPr>
              <w:t>-$469,500</w:t>
            </w:r>
          </w:p>
        </w:tc>
        <w:tc>
          <w:tcPr>
            <w:tcW w:type="dxa" w:w="1656"/>
            <w:tcMar>
              <w:top w:w="80" w:type="dxa"/>
              <w:bottom w:w="80" w:type="dxa"/>
              <w:left w:w="120" w:type="dxa"/>
              <w:right w:w="120" w:type="dxa"/>
            </w:tcMar>
            <w:shd w:fill="F9FAFC"/>
          </w:tcPr>
          <w:p>
            <w:pPr>
              <w:spacing w:before="40" w:after="40"/>
            </w:pPr>
            <w:r>
              <w:rPr>
                <w:sz w:val="19"/>
              </w:rPr>
              <w:t>-83.5%</w:t>
            </w:r>
          </w:p>
        </w:tc>
        <w:tc>
          <w:tcPr>
            <w:tcW w:type="dxa" w:w="1656"/>
            <w:tcMar>
              <w:top w:w="80" w:type="dxa"/>
              <w:bottom w:w="80" w:type="dxa"/>
              <w:left w:w="120" w:type="dxa"/>
              <w:right w:w="120" w:type="dxa"/>
            </w:tcMar>
            <w:shd w:fill="F9FAFC"/>
          </w:tcPr>
          <w:p>
            <w:pPr>
              <w:spacing w:before="40" w:after="40"/>
            </w:pPr>
            <w:r>
              <w:rPr>
                <w:sz w:val="19"/>
              </w:rPr>
              <w:t>Extrapolated annual cost reduction across global enterprise operations.</w:t>
            </w:r>
          </w:p>
        </w:tc>
      </w:tr>
    </w:tbl>
    <w:p>
      <w:pPr>
        <w:spacing w:after="120"/>
      </w:pPr>
    </w:p>
    <w:p>
      <w:pPr>
        <w:pStyle w:val="Heading4"/>
        <w:spacing w:before="160" w:after="40"/>
      </w:pPr>
      <w:r>
        <w:rPr>
          <w:rFonts w:ascii="Calibri" w:hAnsi="Calibri"/>
          <w:b/>
          <w:color w:val="5E6C84"/>
        </w:rPr>
        <w:t>Statistical Confidence &amp; Scalability</w:t>
      </w:r>
    </w:p>
    <w:p>
      <w:pPr>
        <w:pStyle w:val="ListBullet"/>
        <w:spacing w:after="40"/>
      </w:pPr>
      <w:r>
        <w:rPr>
          <w:b/>
        </w:rPr>
        <w:t>Sample Distribution</w:t>
      </w:r>
      <w:r>
        <w:t>: The baseline was computed across $N = 1,480$ legacy laptop orders executed over a 12-month period. The post-automation pilot model was validated across a continuous simulation of 500 orders running concurrently in a multi-node ServiceNow sub-production instance.</w:t>
      </w:r>
    </w:p>
    <w:p>
      <w:pPr>
        <w:pStyle w:val="ListBullet"/>
        <w:spacing w:after="40"/>
      </w:pPr>
      <w:r>
        <w:rPr>
          <w:b/>
        </w:rPr>
        <w:t>Throughput Scalability</w:t>
      </w:r>
      <w:r>
        <w:t xml:space="preserve">: Under the legacy manual paradigm, processing 100 concurrent orders required 4 full-time equivalent (FTE) service desk triage agents. Flow Designer's asynchronous engine processes 100 concurrent orders in </w:t>
      </w:r>
      <w:r>
        <w:rPr>
          <w:b/>
        </w:rPr>
        <w:t>under 45 seconds</w:t>
      </w:r>
      <w:r>
        <w:t xml:space="preserve"> of total engine CPU execution time, representing an estimated </w:t>
      </w:r>
      <w:r>
        <w:rPr>
          <w:b/>
        </w:rPr>
        <w:t>1,200x throughput scalability</w:t>
      </w:r>
      <w:r>
        <w:t xml:space="preserve"> with zero staff additions.</w:t>
      </w:r>
    </w:p>
    <w:p>
      <w:pPr>
        <w:spacing w:after="120" w:line="276" w:lineRule="auto"/>
      </w:pPr>
      <w:r>
        <w:t>---</w:t>
      </w:r>
    </w:p>
    <w:p>
      <w:pPr>
        <w:pStyle w:val="Heading3"/>
        <w:spacing w:before="200" w:after="60"/>
      </w:pPr>
      <w:r>
        <w:rPr>
          <w:rFonts w:ascii="Calibri" w:hAnsi="Calibri"/>
          <w:b/>
          <w:color w:val="344563"/>
        </w:rPr>
        <w:t>3.2 Qualitative Fit Validation</w:t>
      </w:r>
    </w:p>
    <w:p>
      <w:pPr>
        <w:spacing w:after="120" w:line="276" w:lineRule="auto"/>
      </w:pPr>
      <w:r>
        <w:t>Beyond quantitative throughput metrics, the automated solution delivers transformative qualitative improvements across the core operational personas: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quadrantChart</w:t>
              <w:br/>
              <w:t xml:space="preserve">    title Stakeholder Experience vs Governance Matrix</w:t>
              <w:br/>
              <w:t xml:space="preserve">    x-axis "Low User Experience" --&gt; "High User Experience"</w:t>
              <w:br/>
              <w:t xml:space="preserve">    y-axis "Weak Compliance / Control" --&gt; "Strict Enterprise Governance"</w:t>
              <w:br/>
              <w:t xml:space="preserve">    quadrant-1 "Target State: Flow Designer Automation"</w:t>
              <w:br/>
              <w:t xml:space="preserve">    quadrant-2 "Bureaucratic Manual Spreadsheets"</w:t>
              <w:br/>
              <w:t xml:space="preserve">    quadrant-3 "Legacy State: Chaos Emails &amp; Chat Approvals"</w:t>
              <w:br/>
              <w:t xml:space="preserve">    quadrant-4 "Shadow IT &amp; Rogue Purchases"</w:t>
              <w:br/>
              <w:t xml:space="preserve">    "Legacy Email Ordering": [0.15, 0.25]</w:t>
              <w:br/>
              <w:t xml:space="preserve">    "Manual Spreadsheets": [0.25, 0.65]</w:t>
              <w:br/>
              <w:t xml:space="preserve">    "ServiceNow Flow Designer": [0.88, 0.92]</w:t>
            </w:r>
          </w:p>
        </w:tc>
      </w:tr>
    </w:tbl>
    <w:p>
      <w:pPr>
        <w:spacing w:after="80"/>
      </w:pPr>
    </w:p>
    <w:p>
      <w:pPr>
        <w:pStyle w:val="ListNumber"/>
        <w:spacing w:after="40"/>
      </w:pPr>
      <w:r>
        <w:rPr>
          <w:b/>
        </w:rPr>
        <w:t>End-User Requester Experience</w:t>
      </w:r>
      <w:r>
        <w:t>:</w:t>
      </w:r>
    </w:p>
    <w:p>
      <w:pPr>
        <w:pStyle w:val="ListBullet"/>
        <w:spacing w:after="40"/>
      </w:pPr>
      <w:r>
        <w:rPr>
          <w:i/>
        </w:rPr>
        <w:t>Friction Eliminated</w:t>
      </w:r>
      <w:r>
        <w:t>: Eliminated the anxiety of the "procurement black hole." Employees no longer need to send follow-up emails or wonder if their manager approved the request.</w:t>
      </w:r>
    </w:p>
    <w:p>
      <w:pPr>
        <w:pStyle w:val="ListBullet"/>
        <w:spacing w:after="40"/>
      </w:pPr>
      <w:r>
        <w:rPr>
          <w:i/>
        </w:rPr>
        <w:t>Value Realized</w:t>
      </w:r>
      <w:r>
        <w:t>: Intuitive Service Portal catalog experience with dynamic option filtering, real-time stage visualizer, transparent delivery expectations, and automated email confirmation at every lifecycle transition.</w:t>
      </w:r>
    </w:p>
    <w:p>
      <w:pPr>
        <w:pStyle w:val="ListNumber"/>
        <w:spacing w:after="40"/>
      </w:pPr>
      <w:r>
        <w:rPr>
          <w:b/>
        </w:rPr>
        <w:t>Line Manager Approver Experience</w:t>
      </w:r>
      <w:r>
        <w:t>:</w:t>
      </w:r>
    </w:p>
    <w:p>
      <w:pPr>
        <w:pStyle w:val="ListBullet"/>
        <w:spacing w:after="40"/>
      </w:pPr>
      <w:r>
        <w:rPr>
          <w:i/>
        </w:rPr>
        <w:t>Friction Eliminated</w:t>
      </w:r>
      <w:r>
        <w:t>: Managers are no longer inundated with ambiguous forwarded email chains lacking cost or business context.</w:t>
      </w:r>
    </w:p>
    <w:p>
      <w:pPr>
        <w:pStyle w:val="ListBullet"/>
        <w:spacing w:after="40"/>
      </w:pPr>
      <w:r>
        <w:rPr>
          <w:i/>
        </w:rPr>
        <w:t>Value Realized</w:t>
      </w:r>
      <w:r>
        <w:t>: Actionable push and email notifications presenting structured request metadata (Requester, Model, Department Cost Center, Business Justification) with one-click "Approve" or "Reject" buttons accessible from mobile or desktop email clients.</w:t>
      </w:r>
    </w:p>
    <w:p>
      <w:pPr>
        <w:pStyle w:val="ListNumber"/>
        <w:spacing w:after="40"/>
      </w:pPr>
      <w:r>
        <w:rPr>
          <w:b/>
        </w:rPr>
        <w:t>Hardware Configuration Engineer Experience</w:t>
      </w:r>
      <w:r>
        <w:t>:</w:t>
      </w:r>
    </w:p>
    <w:p>
      <w:pPr>
        <w:pStyle w:val="ListBullet"/>
        <w:spacing w:after="40"/>
      </w:pPr>
      <w:r>
        <w:rPr>
          <w:i/>
        </w:rPr>
        <w:t>Friction Eliminated</w:t>
      </w:r>
      <w:r>
        <w:t>: Technicians no longer waste time deciphering conflicting email notes, tracking down missing shipping addresses, or manually transcribing serial numbers into separate asset spreadsheets.</w:t>
      </w:r>
    </w:p>
    <w:p>
      <w:pPr>
        <w:pStyle w:val="ListBullet"/>
        <w:spacing w:after="40"/>
      </w:pPr>
      <w:r>
        <w:rPr>
          <w:i/>
        </w:rPr>
        <w:t>Value Realized</w:t>
      </w:r>
      <w:r>
        <w:t xml:space="preserve">: Clear, pre-populated work instructions on </w:t>
      </w:r>
      <w:r>
        <w:rPr>
          <w:rFonts w:ascii="Consolas" w:hAnsi="Consolas"/>
          <w:color w:val="802020"/>
          <w:sz w:val="19"/>
        </w:rPr>
        <w:t>sc_task</w:t>
      </w:r>
      <w:r>
        <w:t xml:space="preserve"> forms. Mandatory UI policy controls streamline asset scanning, barcode reading, and automatic handoff to shipping teams.</w:t>
      </w:r>
    </w:p>
    <w:p>
      <w:pPr>
        <w:pStyle w:val="ListNumber"/>
        <w:spacing w:after="40"/>
      </w:pPr>
      <w:r>
        <w:rPr>
          <w:b/>
        </w:rPr>
        <w:t>IT Asset Manager &amp; Compliance Auditor Experience</w:t>
      </w:r>
      <w:r>
        <w:t>:</w:t>
      </w:r>
    </w:p>
    <w:p>
      <w:pPr>
        <w:pStyle w:val="ListBullet"/>
        <w:spacing w:after="40"/>
      </w:pPr>
      <w:r>
        <w:rPr>
          <w:i/>
        </w:rPr>
        <w:t>Friction Eliminated</w:t>
      </w:r>
      <w:r>
        <w:t>: The dread of quarterly asset inventory audits, missing equipment reconciliations, and phantom inventory entries.</w:t>
      </w:r>
    </w:p>
    <w:p>
      <w:pPr>
        <w:pStyle w:val="ListBullet"/>
        <w:spacing w:after="40"/>
      </w:pPr>
      <w:r>
        <w:rPr>
          <w:i/>
        </w:rPr>
        <w:t>Value Realized</w:t>
      </w:r>
      <w:r>
        <w:t xml:space="preserve">: Complete, indisputable provenance for every deployed computing device. Immediate verification linking the purchase authorization, approving manager, assigned employee, asset tag, and serial number in </w:t>
      </w:r>
      <w:r>
        <w:rPr>
          <w:rFonts w:ascii="Consolas" w:hAnsi="Consolas"/>
          <w:color w:val="802020"/>
          <w:sz w:val="19"/>
        </w:rPr>
        <w:t>alm_hardware</w:t>
      </w:r>
      <w:r>
        <w:t>.</w:t>
      </w:r>
    </w:p>
    <w:p>
      <w:pPr>
        <w:spacing w:after="120" w:line="276" w:lineRule="auto"/>
      </w:pPr>
      <w:r>
        <w:t>---</w:t>
      </w:r>
    </w:p>
    <w:p>
      <w:pPr>
        <w:pStyle w:val="Heading2"/>
        <w:spacing w:before="280" w:after="80"/>
      </w:pPr>
      <w:r>
        <w:rPr>
          <w:rFonts w:ascii="Calibri" w:hAnsi="Calibri"/>
          <w:b/>
          <w:color w:val="172B4D"/>
        </w:rPr>
        <w:t>4. Value Proposition Canvas (VPC)</w:t>
      </w:r>
    </w:p>
    <w:p>
      <w:pPr>
        <w:spacing w:after="120" w:line="276" w:lineRule="auto"/>
      </w:pPr>
      <w:r>
        <w:t>The Value Proposition Canvas evaluates the systemic fit between user requirements (Customer Profile) and the capabilities introduced by the ServiceNow Flow Designer solution (Value Map).</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graph LR</w:t>
              <w:br/>
              <w:t xml:space="preserve">    subgraph Value_Map [Value Map: Flow Designer Solution]</w:t>
              <w:br/>
              <w:t xml:space="preserve">        direction TB</w:t>
              <w:br/>
              <w:t xml:space="preserve">        PS[Products &amp; Services&lt;br&gt;• Standard Laptop Catalog Item&lt;br&gt;• Flow Designer Orchestrator&lt;br&gt;• Service Portal Widget]</w:t>
              <w:br/>
              <w:t xml:space="preserve">        PR[Pain Relievers&lt;br&gt;• Zero-Touch Manager Routing&lt;br&gt;• Automated Task Provisioning&lt;br&gt;• Real-Time Portal Stage Tracking&lt;br&gt;• Mandatory Asset Sync]</w:t>
              <w:br/>
              <w:t xml:space="preserve">        GC[Gain Creators&lt;br&gt;• 72-Hour Guaranteed MTTF&lt;br&gt;• 100% Audit Compliance&lt;br&gt;• Actionable One-Click Email&lt;br&gt;• Autonomous Inventory Updates]</w:t>
              <w:br/>
              <w:t xml:space="preserve">    end</w:t>
              <w:br/>
              <w:br/>
              <w:t xml:space="preserve">    subgraph Customer_Profile [Customer Profile: Enterprise IT Stakeholders]</w:t>
              <w:br/>
              <w:t xml:space="preserve">        direction TB</w:t>
              <w:br/>
              <w:t xml:space="preserve">        CJ[Customer Jobs&lt;br&gt;• Order Standard Work Hardware&lt;br&gt;• Obtain Authorization&lt;br&gt;• Image &amp; Deploy Laptop&lt;br&gt;• Maintain Asset Records]</w:t>
              <w:br/>
              <w:t xml:space="preserve">        CP[Pains&lt;br&gt;• 14-Day Cycle Time&lt;br&gt;• 18% Spec Mismatches&lt;br&gt;• Lost Email Approvals&lt;br&gt;• Audit Non-Compliance]</w:t>
              <w:br/>
              <w:t xml:space="preserve">        CG[Gains&lt;br&gt;• Rapid Laptop Delivery&lt;br&gt;• Clear Order Status&lt;br&gt;• Flawless Out-of-Box Readiness&lt;br&gt;• Complete Device Provenance]</w:t>
              <w:br/>
              <w:t xml:space="preserve">    end</w:t>
              <w:br/>
              <w:br/>
              <w:t xml:space="preserve">    PR -.-&gt;|Relieves| CP</w:t>
              <w:br/>
              <w:t xml:space="preserve">    GC -.-&gt;|Creates| CG</w:t>
              <w:br/>
              <w:t xml:space="preserve">    PS -.-&gt;|Enables| CJ</w:t>
            </w:r>
          </w:p>
        </w:tc>
      </w:tr>
    </w:tbl>
    <w:p>
      <w:pPr>
        <w:spacing w:after="80"/>
      </w:pPr>
    </w:p>
    <w:p>
      <w:pPr>
        <w:pStyle w:val="Heading3"/>
        <w:spacing w:before="200" w:after="60"/>
      </w:pPr>
      <w:r>
        <w:rPr>
          <w:rFonts w:ascii="Calibri" w:hAnsi="Calibri"/>
          <w:b/>
          <w:color w:val="344563"/>
        </w:rPr>
        <w:t>4.1 Customer Profile Analysis</w:t>
      </w:r>
    </w:p>
    <w:p>
      <w:pPr>
        <w:pStyle w:val="Heading4"/>
        <w:spacing w:before="160" w:after="40"/>
      </w:pPr>
      <w:r>
        <w:rPr>
          <w:rFonts w:ascii="Calibri" w:hAnsi="Calibri"/>
          <w:b/>
          <w:color w:val="5E6C84"/>
        </w:rPr>
        <w:t>1. Customer Jobs (Functional, Social, and Emotional)</w:t>
      </w:r>
    </w:p>
    <w:p>
      <w:pPr>
        <w:pStyle w:val="ListBullet"/>
        <w:spacing w:after="40"/>
      </w:pPr>
      <w:r>
        <w:rPr>
          <w:b/>
        </w:rPr>
        <w:t>Functional Jobs</w:t>
      </w:r>
      <w:r>
        <w:t>:</w:t>
      </w:r>
    </w:p>
    <w:p>
      <w:pPr>
        <w:pStyle w:val="ListBullet"/>
        <w:spacing w:after="40"/>
      </w:pPr>
      <w:r>
        <w:t>Submit request for standardized corporate laptop with required accessories and shipping location.</w:t>
      </w:r>
    </w:p>
    <w:p>
      <w:pPr>
        <w:pStyle w:val="ListBullet"/>
        <w:spacing w:after="40"/>
      </w:pPr>
      <w:r>
        <w:t>Review, authorize, or decline hardware expenditures against departmental cost centers.</w:t>
      </w:r>
    </w:p>
    <w:p>
      <w:pPr>
        <w:pStyle w:val="ListBullet"/>
        <w:spacing w:after="40"/>
      </w:pPr>
      <w:r>
        <w:t>Image, configure, asset-tag, and physically deploy computing devices to employees.</w:t>
      </w:r>
    </w:p>
    <w:p>
      <w:pPr>
        <w:pStyle w:val="ListBullet"/>
        <w:spacing w:after="40"/>
      </w:pPr>
      <w:r>
        <w:t>Reconcile physical hardware inventory balances against platform accounting records.</w:t>
      </w:r>
    </w:p>
    <w:p>
      <w:pPr>
        <w:pStyle w:val="ListBullet"/>
        <w:spacing w:after="40"/>
      </w:pPr>
      <w:r>
        <w:rPr>
          <w:b/>
        </w:rPr>
        <w:t>Social Jobs</w:t>
      </w:r>
      <w:r>
        <w:t>:</w:t>
      </w:r>
    </w:p>
    <w:p>
      <w:pPr>
        <w:pStyle w:val="ListBullet"/>
        <w:spacing w:after="40"/>
      </w:pPr>
      <w:r>
        <w:t>Project professional competence to new hires by ensuring equipment arrives prior to Day 1.</w:t>
      </w:r>
    </w:p>
    <w:p>
      <w:pPr>
        <w:pStyle w:val="ListBullet"/>
        <w:spacing w:after="40"/>
      </w:pPr>
      <w:r>
        <w:t>Demonstrate fiscal responsibility and regulatory compliance to internal audit boards.</w:t>
      </w:r>
    </w:p>
    <w:p>
      <w:pPr>
        <w:pStyle w:val="ListBullet"/>
        <w:spacing w:after="40"/>
      </w:pPr>
      <w:r>
        <w:rPr>
          <w:b/>
        </w:rPr>
        <w:t>Emotional Jobs</w:t>
      </w:r>
      <w:r>
        <w:t>:</w:t>
      </w:r>
    </w:p>
    <w:p>
      <w:pPr>
        <w:pStyle w:val="ListBullet"/>
        <w:spacing w:after="40"/>
      </w:pPr>
      <w:r>
        <w:t>Eliminate the personal stress of missing business-critical deadlines due to hardware delays.</w:t>
      </w:r>
    </w:p>
    <w:p>
      <w:pPr>
        <w:pStyle w:val="ListBullet"/>
        <w:spacing w:after="40"/>
      </w:pPr>
      <w:r>
        <w:t>Gain confidence and peace of mind through complete transparency into request processing.</w:t>
      </w:r>
    </w:p>
    <w:p>
      <w:pPr>
        <w:pStyle w:val="Heading4"/>
        <w:spacing w:before="160" w:after="40"/>
      </w:pPr>
      <w:r>
        <w:rPr>
          <w:rFonts w:ascii="Calibri" w:hAnsi="Calibri"/>
          <w:b/>
          <w:color w:val="5E6C84"/>
        </w:rPr>
        <w:t>2. Customer Pains</w:t>
      </w:r>
    </w:p>
    <w:p>
      <w:pPr>
        <w:pStyle w:val="ListBullet"/>
        <w:spacing w:after="40"/>
      </w:pPr>
      <w:r>
        <w:rPr>
          <w:b/>
        </w:rPr>
        <w:t>Black-Hole Processing</w:t>
      </w:r>
      <w:r>
        <w:t>: Inability to track where an order is or who is currently holding it up.</w:t>
      </w:r>
    </w:p>
    <w:p>
      <w:pPr>
        <w:pStyle w:val="ListBullet"/>
        <w:spacing w:after="40"/>
      </w:pPr>
      <w:r>
        <w:rPr>
          <w:b/>
        </w:rPr>
        <w:t>Prolonged Onboarding Delays</w:t>
      </w:r>
      <w:r>
        <w:t>: New hires sitting idle without equipment for their first 1–2 weeks of employment.</w:t>
      </w:r>
    </w:p>
    <w:p>
      <w:pPr>
        <w:pStyle w:val="ListBullet"/>
        <w:spacing w:after="40"/>
      </w:pPr>
      <w:r>
        <w:rPr>
          <w:b/>
        </w:rPr>
        <w:t>Spec Mismatch Agony</w:t>
      </w:r>
      <w:r>
        <w:t>: Receiving a laptop with incorrect operating system, inadequate RAM, or missing accessories, necessitating return and re-ordering.</w:t>
      </w:r>
    </w:p>
    <w:p>
      <w:pPr>
        <w:pStyle w:val="ListBullet"/>
        <w:spacing w:after="40"/>
      </w:pPr>
      <w:r>
        <w:rPr>
          <w:b/>
        </w:rPr>
        <w:t>Administrative Burden</w:t>
      </w:r>
      <w:r>
        <w:t>: Fulfillers spending over 40% of their working day manually creating tickets, updating spreadsheets, and answering status check queries.</w:t>
      </w:r>
    </w:p>
    <w:p>
      <w:pPr>
        <w:pStyle w:val="ListBullet"/>
        <w:spacing w:after="40"/>
      </w:pPr>
      <w:r>
        <w:rPr>
          <w:b/>
        </w:rPr>
        <w:t>Audit Liability</w:t>
      </w:r>
      <w:r>
        <w:t>: Exposure to severe audit findings due to untracked laptop distributions and lack of managerial approval records.</w:t>
      </w:r>
    </w:p>
    <w:p>
      <w:pPr>
        <w:pStyle w:val="Heading4"/>
        <w:spacing w:before="160" w:after="40"/>
      </w:pPr>
      <w:r>
        <w:rPr>
          <w:rFonts w:ascii="Calibri" w:hAnsi="Calibri"/>
          <w:b/>
          <w:color w:val="5E6C84"/>
        </w:rPr>
        <w:t>3. Customer Gains</w:t>
      </w:r>
    </w:p>
    <w:p>
      <w:pPr>
        <w:pStyle w:val="ListBullet"/>
        <w:spacing w:after="40"/>
      </w:pPr>
      <w:r>
        <w:rPr>
          <w:b/>
        </w:rPr>
        <w:t>Rapid Turnaround</w:t>
      </w:r>
      <w:r>
        <w:t>: Hardware delivered to desk or home within 72 hours of request submission.</w:t>
      </w:r>
    </w:p>
    <w:p>
      <w:pPr>
        <w:pStyle w:val="ListBullet"/>
        <w:spacing w:after="40"/>
      </w:pPr>
      <w:r>
        <w:rPr>
          <w:b/>
        </w:rPr>
        <w:t>Self-Service Autonomy</w:t>
      </w:r>
      <w:r>
        <w:t>: Empowered users managing their own requests through a consumer-grade Service Portal.</w:t>
      </w:r>
    </w:p>
    <w:p>
      <w:pPr>
        <w:pStyle w:val="ListBullet"/>
        <w:spacing w:after="40"/>
      </w:pPr>
      <w:r>
        <w:rPr>
          <w:b/>
        </w:rPr>
        <w:t>Zero Rework</w:t>
      </w:r>
      <w:r>
        <w:t>: Hardware arriving correctly imaged with all specified software and accessories on the first attempt.</w:t>
      </w:r>
    </w:p>
    <w:p>
      <w:pPr>
        <w:pStyle w:val="ListBullet"/>
        <w:spacing w:after="40"/>
      </w:pPr>
      <w:r>
        <w:rPr>
          <w:b/>
        </w:rPr>
        <w:t>Immutable Accountability</w:t>
      </w:r>
      <w:r>
        <w:t>: Total audit defense with cryptographic-level certainty regarding who approved what, when, and how much it cost.</w:t>
      </w:r>
    </w:p>
    <w:p>
      <w:pPr>
        <w:spacing w:after="120" w:line="276" w:lineRule="auto"/>
      </w:pPr>
      <w:r>
        <w:t>---</w:t>
      </w:r>
    </w:p>
    <w:p>
      <w:pPr>
        <w:pStyle w:val="Heading3"/>
        <w:spacing w:before="200" w:after="60"/>
      </w:pPr>
      <w:r>
        <w:rPr>
          <w:rFonts w:ascii="Calibri" w:hAnsi="Calibri"/>
          <w:b/>
          <w:color w:val="344563"/>
        </w:rPr>
        <w:t>4.2 Value Map Analysis</w:t>
      </w:r>
    </w:p>
    <w:p>
      <w:pPr>
        <w:pStyle w:val="Heading4"/>
        <w:spacing w:before="160" w:after="40"/>
      </w:pPr>
      <w:r>
        <w:rPr>
          <w:rFonts w:ascii="Calibri" w:hAnsi="Calibri"/>
          <w:b/>
          <w:color w:val="5E6C84"/>
        </w:rPr>
        <w:t>1. Products &amp; Services</w:t>
      </w:r>
    </w:p>
    <w:p>
      <w:pPr>
        <w:pStyle w:val="ListBullet"/>
        <w:spacing w:after="40"/>
      </w:pPr>
      <w:r>
        <w:rPr>
          <w:b/>
        </w:rPr>
        <w:t>ServiceNow Service Catalog Module</w:t>
      </w:r>
      <w:r>
        <w:t>: Standard Laptop Catalog Item (</w:t>
      </w:r>
      <w:r>
        <w:rPr>
          <w:rFonts w:ascii="Consolas" w:hAnsi="Consolas"/>
          <w:color w:val="802020"/>
          <w:sz w:val="19"/>
        </w:rPr>
        <w:t>cat_item</w:t>
      </w:r>
      <w:r>
        <w:t>) with dynamic variable sets, responsive UI policies, and regex-enforced field validation.</w:t>
      </w:r>
    </w:p>
    <w:p>
      <w:pPr>
        <w:pStyle w:val="ListBullet"/>
        <w:spacing w:after="40"/>
      </w:pPr>
      <w:r>
        <w:rPr>
          <w:b/>
        </w:rPr>
        <w:t>Flow Designer Workflow Engine</w:t>
      </w:r>
      <w:r>
        <w:t>: Low-code event-driven flow (</w:t>
      </w:r>
      <w:r>
        <w:rPr>
          <w:rFonts w:ascii="Consolas" w:hAnsi="Consolas"/>
          <w:color w:val="802020"/>
          <w:sz w:val="19"/>
        </w:rPr>
        <w:t>Standard Laptop Order Fulfillment Flow</w:t>
      </w:r>
      <w:r>
        <w:t>) orchestrating end-to-end task generation and conditional routing.</w:t>
      </w:r>
    </w:p>
    <w:p>
      <w:pPr>
        <w:pStyle w:val="ListBullet"/>
        <w:spacing w:after="40"/>
      </w:pPr>
      <w:r>
        <w:rPr>
          <w:b/>
        </w:rPr>
        <w:t>Service Portal / Employee Center</w:t>
      </w:r>
      <w:r>
        <w:t>: Modern, mobile-responsive self-service request tracking workspace.</w:t>
      </w:r>
    </w:p>
    <w:p>
      <w:pPr>
        <w:pStyle w:val="ListBullet"/>
        <w:spacing w:after="40"/>
      </w:pPr>
      <w:r>
        <w:rPr>
          <w:b/>
        </w:rPr>
        <w:t>Hardware Asset Management (HAM) Subsystem</w:t>
      </w:r>
      <w:r>
        <w:t xml:space="preserve">: Automated bi-directional synchronization with </w:t>
      </w:r>
      <w:r>
        <w:rPr>
          <w:rFonts w:ascii="Consolas" w:hAnsi="Consolas"/>
          <w:color w:val="802020"/>
          <w:sz w:val="19"/>
        </w:rPr>
        <w:t>alm_hardware</w:t>
      </w:r>
      <w:r>
        <w:t xml:space="preserve"> and </w:t>
      </w:r>
      <w:r>
        <w:rPr>
          <w:rFonts w:ascii="Consolas" w:hAnsi="Consolas"/>
          <w:color w:val="802020"/>
          <w:sz w:val="19"/>
        </w:rPr>
        <w:t>cmdb_ci_computer</w:t>
      </w:r>
      <w:r>
        <w:t>.</w:t>
      </w:r>
    </w:p>
    <w:p>
      <w:pPr>
        <w:pStyle w:val="Heading4"/>
        <w:spacing w:before="160" w:after="40"/>
      </w:pPr>
      <w:r>
        <w:rPr>
          <w:rFonts w:ascii="Calibri" w:hAnsi="Calibri"/>
          <w:b/>
          <w:color w:val="5E6C84"/>
        </w:rPr>
        <w:t>2. Pain Relievers</w:t>
      </w:r>
    </w:p>
    <w:p>
      <w:pPr>
        <w:pStyle w:val="ListBullet"/>
        <w:spacing w:after="40"/>
      </w:pPr>
      <w:r>
        <w:rPr>
          <w:b/>
        </w:rPr>
        <w:t>Zero-Touch Routing</w:t>
      </w:r>
      <w:r>
        <w:t>: Flow Designer eliminates manual triage by binding catalog variables to backend task fields via native data pills.</w:t>
      </w:r>
    </w:p>
    <w:p>
      <w:pPr>
        <w:pStyle w:val="ListBullet"/>
        <w:spacing w:after="40"/>
      </w:pPr>
      <w:r>
        <w:rPr>
          <w:b/>
        </w:rPr>
        <w:t>Automated Manager Chasing</w:t>
      </w:r>
      <w:r>
        <w:t xml:space="preserve">: Native </w:t>
      </w:r>
      <w:r>
        <w:rPr>
          <w:rFonts w:ascii="Consolas" w:hAnsi="Consolas"/>
          <w:color w:val="802020"/>
          <w:sz w:val="19"/>
        </w:rPr>
        <w:t>Ask for Approval</w:t>
      </w:r>
      <w:r>
        <w:t xml:space="preserve"> action sends actionable notifications, tracks SLA timers, and auto-escalates dormant requests, eliminating manual email pings.</w:t>
      </w:r>
    </w:p>
    <w:p>
      <w:pPr>
        <w:pStyle w:val="ListBullet"/>
        <w:spacing w:after="40"/>
      </w:pPr>
      <w:r>
        <w:rPr>
          <w:b/>
        </w:rPr>
        <w:t>Visual Status Chevrons</w:t>
      </w:r>
      <w:r>
        <w:t>: Service Portal chevron widget displays real-time stages (</w:t>
      </w:r>
      <w:r>
        <w:rPr>
          <w:rFonts w:ascii="Consolas" w:hAnsi="Consolas"/>
          <w:color w:val="802020"/>
          <w:sz w:val="19"/>
        </w:rPr>
        <w:t>Waiting for Approval</w:t>
      </w:r>
      <w:r>
        <w:t xml:space="preserve">, </w:t>
      </w:r>
      <w:r>
        <w:rPr>
          <w:rFonts w:ascii="Consolas" w:hAnsi="Consolas"/>
          <w:color w:val="802020"/>
          <w:sz w:val="19"/>
        </w:rPr>
        <w:t>Fulfillment</w:t>
      </w:r>
      <w:r>
        <w:t xml:space="preserve">, </w:t>
      </w:r>
      <w:r>
        <w:rPr>
          <w:rFonts w:ascii="Consolas" w:hAnsi="Consolas"/>
          <w:color w:val="802020"/>
          <w:sz w:val="19"/>
        </w:rPr>
        <w:t>Delivery</w:t>
      </w:r>
      <w:r>
        <w:t xml:space="preserve">, </w:t>
      </w:r>
      <w:r>
        <w:rPr>
          <w:rFonts w:ascii="Consolas" w:hAnsi="Consolas"/>
          <w:color w:val="802020"/>
          <w:sz w:val="19"/>
        </w:rPr>
        <w:t>Complete</w:t>
      </w:r>
      <w:r>
        <w:t>), completely satisfying the requester's need for visibility.</w:t>
      </w:r>
    </w:p>
    <w:p>
      <w:pPr>
        <w:pStyle w:val="ListBullet"/>
        <w:spacing w:after="40"/>
      </w:pPr>
      <w:r>
        <w:rPr>
          <w:b/>
        </w:rPr>
        <w:t>Mandatory Asset Tagging</w:t>
      </w:r>
      <w:r>
        <w:t>: Form policies prevent task closure unless valid serial numbers and asset barcodes are scanned, eliminating untracked hardware deployments.</w:t>
      </w:r>
    </w:p>
    <w:p>
      <w:pPr>
        <w:pStyle w:val="Heading4"/>
        <w:spacing w:before="160" w:after="40"/>
      </w:pPr>
      <w:r>
        <w:rPr>
          <w:rFonts w:ascii="Calibri" w:hAnsi="Calibri"/>
          <w:b/>
          <w:color w:val="5E6C84"/>
        </w:rPr>
        <w:t>3. Gain Creators</w:t>
      </w:r>
    </w:p>
    <w:p>
      <w:pPr>
        <w:pStyle w:val="ListBullet"/>
        <w:spacing w:after="40"/>
      </w:pPr>
      <w:r>
        <w:rPr>
          <w:b/>
        </w:rPr>
        <w:t>72-Hour MTTF Commitment</w:t>
      </w:r>
      <w:r>
        <w:t>: Automated sequential task provisioning ensures hardware technicians and logistics handlers receive work orders instantaneously upon approval.</w:t>
      </w:r>
    </w:p>
    <w:p>
      <w:pPr>
        <w:pStyle w:val="ListBullet"/>
        <w:spacing w:after="40"/>
      </w:pPr>
      <w:r>
        <w:rPr>
          <w:b/>
        </w:rPr>
        <w:t>One-Click Approvals</w:t>
      </w:r>
      <w:r>
        <w:t>: Actionable email markup allows managers to approve orders directly from their mobile email client in seconds without logging into the full platform interface.</w:t>
      </w:r>
    </w:p>
    <w:p>
      <w:pPr>
        <w:pStyle w:val="ListBullet"/>
        <w:spacing w:after="40"/>
      </w:pPr>
      <w:r>
        <w:rPr>
          <w:b/>
        </w:rPr>
        <w:t>100% Audit Compliance</w:t>
      </w:r>
      <w:r>
        <w:t xml:space="preserve">: Automated generation of </w:t>
      </w:r>
      <w:r>
        <w:rPr>
          <w:rFonts w:ascii="Consolas" w:hAnsi="Consolas"/>
          <w:color w:val="802020"/>
          <w:sz w:val="19"/>
        </w:rPr>
        <w:t>sys_flow_context</w:t>
      </w:r>
      <w:r>
        <w:t xml:space="preserve">, </w:t>
      </w:r>
      <w:r>
        <w:rPr>
          <w:rFonts w:ascii="Consolas" w:hAnsi="Consolas"/>
          <w:color w:val="802020"/>
          <w:sz w:val="19"/>
        </w:rPr>
        <w:t>sysapproval_approver</w:t>
      </w:r>
      <w:r>
        <w:t xml:space="preserve">, and </w:t>
      </w:r>
      <w:r>
        <w:rPr>
          <w:rFonts w:ascii="Consolas" w:hAnsi="Consolas"/>
          <w:color w:val="802020"/>
          <w:sz w:val="19"/>
        </w:rPr>
        <w:t>sys_audit</w:t>
      </w:r>
      <w:r>
        <w:t xml:space="preserve"> records guarantees flawless compliance during IT audit reviews.</w:t>
      </w:r>
    </w:p>
    <w:p>
      <w:pPr>
        <w:pStyle w:val="ListBullet"/>
        <w:spacing w:after="40"/>
      </w:pPr>
      <w:r>
        <w:rPr>
          <w:b/>
        </w:rPr>
        <w:t>Autonomous Inventory Alignment</w:t>
      </w:r>
      <w:r>
        <w:t>: Real-time asset status transitions (</w:t>
      </w:r>
      <w:r>
        <w:rPr>
          <w:rFonts w:ascii="Consolas" w:hAnsi="Consolas"/>
          <w:color w:val="802020"/>
          <w:sz w:val="19"/>
        </w:rPr>
        <w:t>In Stock</w:t>
      </w:r>
      <w:r>
        <w:t xml:space="preserve"> → </w:t>
      </w:r>
      <w:r>
        <w:rPr>
          <w:rFonts w:ascii="Consolas" w:hAnsi="Consolas"/>
          <w:color w:val="802020"/>
          <w:sz w:val="19"/>
        </w:rPr>
        <w:t>Reserved</w:t>
      </w:r>
      <w:r>
        <w:t xml:space="preserve"> → </w:t>
      </w:r>
      <w:r>
        <w:rPr>
          <w:rFonts w:ascii="Consolas" w:hAnsi="Consolas"/>
          <w:color w:val="802020"/>
          <w:sz w:val="19"/>
        </w:rPr>
        <w:t>In Use</w:t>
      </w:r>
      <w:r>
        <w:t>) maintain flawless inventory synchronization without human bookkeeping.</w:t>
      </w:r>
    </w:p>
    <w:p>
      <w:pPr>
        <w:spacing w:after="120" w:line="276" w:lineRule="auto"/>
      </w:pPr>
      <w:r>
        <w:t>---</w:t>
      </w:r>
    </w:p>
    <w:p>
      <w:pPr>
        <w:pStyle w:val="Heading3"/>
        <w:spacing w:before="200" w:after="60"/>
      </w:pPr>
      <w:r>
        <w:rPr>
          <w:rFonts w:ascii="Calibri" w:hAnsi="Calibri"/>
          <w:b/>
          <w:color w:val="344563"/>
        </w:rPr>
        <w:t>4.3 Value Fit Synthesis &amp; Alignment Summary</w:t>
      </w:r>
    </w:p>
    <w:p>
      <w:pPr>
        <w:spacing w:after="120" w:line="276" w:lineRule="auto"/>
      </w:pPr>
      <w:r>
        <w:t xml:space="preserve">The alignment between Customer Profile and Value Map confirms an airtight </w:t>
      </w:r>
      <w:r>
        <w:rPr>
          <w:b/>
        </w:rPr>
        <w:t>Problem-Solution Fit</w:t>
      </w:r>
      <w:r>
        <w:t>. Every observed failure vector in the legacy environment is neutralized by a native Flow Designer capability, and every customer pain point is addressed by an architectural safeguard.</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classDiagram</w:t>
              <w:br/>
              <w:t xml:space="preserve">    class LegacyPain {</w:t>
              <w:br/>
              <w:t xml:space="preserve">        +Unmonitored Email Dwell (84h)</w:t>
              <w:br/>
              <w:t xml:space="preserve">        +Manual Approval Chasing (4.8d)</w:t>
              <w:br/>
              <w:t xml:space="preserve">        +Manual Ticket Entry Errors (18.4%)</w:t>
              <w:br/>
              <w:t xml:space="preserve">        +Asset CMDB Blindness (38.2% untracked)</w:t>
              <w:br/>
              <w:t xml:space="preserve">        +Staging Queue Latency (2.4d)</w:t>
              <w:br/>
              <w:t xml:space="preserve">        +Audit Non-Compliance</w:t>
              <w:br/>
              <w:t xml:space="preserve">    }</w:t>
              <w:br/>
              <w:br/>
              <w:t xml:space="preserve">    class FlowSafeguard {</w:t>
              <w:br/>
              <w:t xml:space="preserve">        +Record Created Instant Trigger</w:t>
              <w:br/>
              <w:t xml:space="preserve">        +Ask for Approval with 48h Escalation</w:t>
              <w:br/>
              <w:t xml:space="preserve">        +Zero-Touch Data Pill Binding</w:t>
              <w:br/>
              <w:t xml:space="preserve">        +Automated alm_hardware Sync</w:t>
              <w:br/>
              <w:t xml:space="preserve">        +Pre-Populated Sequential sc_task</w:t>
              <w:br/>
              <w:t xml:space="preserve">        +Immutable sys_flow_context Audit</w:t>
              <w:br/>
              <w:t xml:space="preserve">    }</w:t>
              <w:br/>
              <w:br/>
              <w:t xml:space="preserve">    class SolvedState {</w:t>
              <w:br/>
              <w:t xml:space="preserve">        +0.0s Dwell Time</w:t>
              <w:br/>
              <w:t xml:space="preserve">        +4.2h Approval Turnaround</w:t>
              <w:br/>
              <w:t xml:space="preserve">        +0.0% Transcription Errors</w:t>
              <w:br/>
              <w:t xml:space="preserve">        +100% Asset Provenance</w:t>
              <w:br/>
              <w:t xml:space="preserve">        +4.5h Staging Turnaround</w:t>
              <w:br/>
              <w:t xml:space="preserve">        +Zero Audit Non-Conformances</w:t>
              <w:br/>
              <w:t xml:space="preserve">    }</w:t>
              <w:br/>
              <w:br/>
              <w:t xml:space="preserve">    LegacyPain --&gt; FlowSafeguard : Neutralized by</w:t>
              <w:br/>
              <w:t xml:space="preserve">    FlowSafeguard --&gt; SolvedState : Yields</w:t>
            </w:r>
          </w:p>
        </w:tc>
      </w:tr>
    </w:tbl>
    <w:p>
      <w:pPr>
        <w:spacing w:after="80"/>
      </w:pPr>
    </w:p>
    <w:p>
      <w:pPr>
        <w:spacing w:after="120" w:line="276" w:lineRule="auto"/>
      </w:pPr>
      <w:r>
        <w:t>By engineering the solution natively on ServiceNow's out-of-the-box data structures (</w:t>
      </w:r>
      <w:r>
        <w:rPr>
          <w:rFonts w:ascii="Consolas" w:hAnsi="Consolas"/>
          <w:color w:val="802020"/>
          <w:sz w:val="19"/>
        </w:rPr>
        <w:t>sc_request</w:t>
      </w:r>
      <w:r>
        <w:t xml:space="preserve">, </w:t>
      </w:r>
      <w:r>
        <w:rPr>
          <w:rFonts w:ascii="Consolas" w:hAnsi="Consolas"/>
          <w:color w:val="802020"/>
          <w:sz w:val="19"/>
        </w:rPr>
        <w:t>sc_req_item</w:t>
      </w:r>
      <w:r>
        <w:t xml:space="preserve">, </w:t>
      </w:r>
      <w:r>
        <w:rPr>
          <w:rFonts w:ascii="Consolas" w:hAnsi="Consolas"/>
          <w:color w:val="802020"/>
          <w:sz w:val="19"/>
        </w:rPr>
        <w:t>sc_task</w:t>
      </w:r>
      <w:r>
        <w:t xml:space="preserve">, </w:t>
      </w:r>
      <w:r>
        <w:rPr>
          <w:rFonts w:ascii="Consolas" w:hAnsi="Consolas"/>
          <w:color w:val="802020"/>
          <w:sz w:val="19"/>
        </w:rPr>
        <w:t>alm_hardware</w:t>
      </w:r>
      <w:r>
        <w:t>), the organization achieves radical operational optimization while maintaining 100% upgrade compatibility with future ServiceNow family releases.</w:t>
      </w:r>
    </w:p>
    <w:p>
      <w:pPr>
        <w:spacing w:after="120" w:line="276" w:lineRule="auto"/>
      </w:pPr>
      <w:r>
        <w:t>---</w:t>
      </w:r>
    </w:p>
    <w:p>
      <w:pPr>
        <w:pStyle w:val="Heading2"/>
        <w:spacing w:before="280" w:after="80"/>
      </w:pPr>
      <w:r>
        <w:rPr>
          <w:rFonts w:ascii="Calibri" w:hAnsi="Calibri"/>
          <w:b/>
          <w:color w:val="172B4D"/>
        </w:rPr>
        <w:t>5. Architectural Gap Analysis &amp; Edge-Case Safeguards</w:t>
      </w:r>
    </w:p>
    <w:p>
      <w:pPr>
        <w:spacing w:after="120" w:line="276" w:lineRule="auto"/>
      </w:pPr>
      <w:r>
        <w:t>To prevent operational regressions, the solution architecture incorporates defensive failure-prevention mechanisms directly into the flow design:</w:t>
      </w:r>
    </w:p>
    <w:p>
      <w:pPr>
        <w:pStyle w:val="ListNumber"/>
        <w:spacing w:after="40"/>
      </w:pPr>
      <w:r>
        <w:rPr>
          <w:b/>
        </w:rPr>
        <w:t>The Null / Inactive Manager Safeguard</w:t>
      </w:r>
      <w:r>
        <w:t>:</w:t>
      </w:r>
    </w:p>
    <w:p>
      <w:pPr>
        <w:pStyle w:val="ListBullet"/>
        <w:spacing w:after="40"/>
      </w:pPr>
      <w:r>
        <w:rPr>
          <w:i/>
        </w:rPr>
        <w:t>Failure Risk</w:t>
      </w:r>
      <w:r>
        <w:t xml:space="preserve">: If an employee has no direct manager listed in </w:t>
      </w:r>
      <w:r>
        <w:rPr>
          <w:rFonts w:ascii="Consolas" w:hAnsi="Consolas"/>
          <w:color w:val="802020"/>
          <w:sz w:val="19"/>
        </w:rPr>
        <w:t>sys_user</w:t>
      </w:r>
      <w:r>
        <w:t xml:space="preserve"> or the manager's account is deactivated, standard approval actions stall indefinitely.</w:t>
      </w:r>
    </w:p>
    <w:p>
      <w:pPr>
        <w:pStyle w:val="ListBullet"/>
        <w:spacing w:after="40"/>
      </w:pPr>
      <w:r>
        <w:rPr>
          <w:i/>
        </w:rPr>
        <w:t>Architectural Safeguard</w:t>
      </w:r>
      <w:r>
        <w:t xml:space="preserve">: A pre-approval conditional decision block evaluates </w:t>
      </w:r>
      <w:r>
        <w:rPr>
          <w:rFonts w:ascii="Consolas" w:hAnsi="Consolas"/>
          <w:color w:val="802020"/>
          <w:sz w:val="19"/>
        </w:rPr>
        <w:t>opened_by.manager == nil || opened_by.manager.active == false</w:t>
      </w:r>
      <w:r>
        <w:t xml:space="preserve">. If true, the flow dynamically reroutes the approval to the </w:t>
      </w:r>
      <w:r>
        <w:rPr>
          <w:rFonts w:ascii="Consolas" w:hAnsi="Consolas"/>
          <w:color w:val="802020"/>
          <w:sz w:val="19"/>
        </w:rPr>
        <w:t>IT Procurement Approvers</w:t>
      </w:r>
      <w:r>
        <w:t xml:space="preserve"> governance queue, logging a priority warning in the RITM work notes.</w:t>
      </w:r>
    </w:p>
    <w:p>
      <w:pPr>
        <w:pStyle w:val="ListNumber"/>
        <w:spacing w:after="40"/>
      </w:pPr>
      <w:r>
        <w:rPr>
          <w:b/>
        </w:rPr>
        <w:t>Physical Stock Depletion Safeguard</w:t>
      </w:r>
      <w:r>
        <w:t>:</w:t>
      </w:r>
    </w:p>
    <w:p>
      <w:pPr>
        <w:pStyle w:val="ListBullet"/>
        <w:spacing w:after="40"/>
      </w:pPr>
      <w:r>
        <w:rPr>
          <w:i/>
        </w:rPr>
        <w:t>Failure Risk</w:t>
      </w:r>
      <w:r>
        <w:t>: An order is approved, but the requested laptop model is physically out of stock in the local warehouse.</w:t>
      </w:r>
    </w:p>
    <w:p>
      <w:pPr>
        <w:pStyle w:val="ListBullet"/>
        <w:spacing w:after="40"/>
      </w:pPr>
      <w:r>
        <w:rPr>
          <w:i/>
        </w:rPr>
        <w:t>Architectural Safeguard</w:t>
      </w:r>
      <w:r>
        <w:t xml:space="preserve">: Task 1 (Staging) provides a </w:t>
      </w:r>
      <w:r>
        <w:rPr>
          <w:rFonts w:ascii="Consolas" w:hAnsi="Consolas"/>
          <w:color w:val="802020"/>
          <w:sz w:val="19"/>
        </w:rPr>
        <w:t>Closed Incomplete</w:t>
      </w:r>
      <w:r>
        <w:t xml:space="preserve"> state with mandatory closure reason </w:t>
      </w:r>
      <w:r>
        <w:rPr>
          <w:rFonts w:ascii="Consolas" w:hAnsi="Consolas"/>
          <w:color w:val="802020"/>
          <w:sz w:val="19"/>
        </w:rPr>
        <w:t>Out of Stock</w:t>
      </w:r>
      <w:r>
        <w:t>. Flow Designer intercepts this state transition and dynamically spawns a Procurement Purchasing subflow to generate a vendor purchase order, preventing silent order drops.</w:t>
      </w:r>
    </w:p>
    <w:p>
      <w:pPr>
        <w:pStyle w:val="ListNumber"/>
        <w:spacing w:after="40"/>
      </w:pPr>
      <w:r>
        <w:rPr>
          <w:b/>
        </w:rPr>
        <w:t>Duplicate Serial Number Collision Safeguard</w:t>
      </w:r>
      <w:r>
        <w:t>:</w:t>
      </w:r>
    </w:p>
    <w:p>
      <w:pPr>
        <w:pStyle w:val="ListBullet"/>
        <w:spacing w:after="40"/>
      </w:pPr>
      <w:r>
        <w:rPr>
          <w:i/>
        </w:rPr>
        <w:t>Failure Risk</w:t>
      </w:r>
      <w:r>
        <w:t>: A technician accidentally scans a barcode already assigned to another deployed machine.</w:t>
      </w:r>
    </w:p>
    <w:p>
      <w:pPr>
        <w:pStyle w:val="ListBullet"/>
        <w:spacing w:after="40"/>
      </w:pPr>
      <w:r>
        <w:rPr>
          <w:i/>
        </w:rPr>
        <w:t>Architectural Safeguard</w:t>
      </w:r>
      <w:r>
        <w:t xml:space="preserve">: A ServiceNow Data Policy validates uniqueness against </w:t>
      </w:r>
      <w:r>
        <w:rPr>
          <w:rFonts w:ascii="Consolas" w:hAnsi="Consolas"/>
          <w:color w:val="802020"/>
          <w:sz w:val="19"/>
        </w:rPr>
        <w:t>alm_hardware.serial_number</w:t>
      </w:r>
      <w:r>
        <w:t xml:space="preserve">. Any attempt to close </w:t>
      </w:r>
      <w:r>
        <w:rPr>
          <w:rFonts w:ascii="Consolas" w:hAnsi="Consolas"/>
          <w:color w:val="802020"/>
          <w:sz w:val="19"/>
        </w:rPr>
        <w:t>sc_task</w:t>
      </w:r>
      <w:r>
        <w:t xml:space="preserve"> with an active assigned serial number aborts the transaction with an interactive error prompt on the fulfiller form.</w:t>
      </w:r>
    </w:p>
    <w:p>
      <w:pPr>
        <w:spacing w:after="120" w:line="276" w:lineRule="auto"/>
      </w:pPr>
      <w:r>
        <w:t>---</w:t>
      </w:r>
    </w:p>
    <w:p>
      <w:pPr>
        <w:pStyle w:val="Heading2"/>
        <w:spacing w:before="280" w:after="80"/>
      </w:pPr>
      <w:r>
        <w:rPr>
          <w:rFonts w:ascii="Calibri" w:hAnsi="Calibri"/>
          <w:b/>
          <w:color w:val="172B4D"/>
        </w:rPr>
        <w:t>6. Document Sign-off &amp; Revision History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shd w:fill="0052CC"/>
          </w:tcPr>
          <w:p>
            <w:pPr>
              <w:spacing w:before="40" w:after="40"/>
            </w:pPr>
            <w:r>
              <w:rPr>
                <w:b/>
                <w:color w:val="FFFFFF"/>
                <w:sz w:val="20"/>
              </w:rPr>
              <w:t>Version</w:t>
            </w:r>
          </w:p>
        </w:tc>
        <w:tc>
          <w:tcPr>
            <w:tcW w:type="dxa" w:w="1987"/>
            <w:tcMar>
              <w:top w:w="80" w:type="dxa"/>
              <w:bottom w:w="80" w:type="dxa"/>
              <w:left w:w="120" w:type="dxa"/>
              <w:right w:w="120" w:type="dxa"/>
            </w:tcMar>
            <w:shd w:fill="0052CC"/>
          </w:tcPr>
          <w:p>
            <w:pPr>
              <w:spacing w:before="40" w:after="40"/>
            </w:pPr>
            <w:r>
              <w:rPr>
                <w:b/>
                <w:color w:val="FFFFFF"/>
                <w:sz w:val="20"/>
              </w:rPr>
              <w:t>Date</w:t>
            </w:r>
          </w:p>
        </w:tc>
        <w:tc>
          <w:tcPr>
            <w:tcW w:type="dxa" w:w="1987"/>
            <w:tcMar>
              <w:top w:w="80" w:type="dxa"/>
              <w:bottom w:w="80" w:type="dxa"/>
              <w:left w:w="120" w:type="dxa"/>
              <w:right w:w="120" w:type="dxa"/>
            </w:tcMar>
            <w:shd w:fill="0052CC"/>
          </w:tcPr>
          <w:p>
            <w:pPr>
              <w:spacing w:before="40" w:after="40"/>
            </w:pPr>
            <w:r>
              <w:rPr>
                <w:b/>
                <w:color w:val="FFFFFF"/>
                <w:sz w:val="20"/>
              </w:rPr>
              <w:t>Author</w:t>
            </w:r>
          </w:p>
        </w:tc>
        <w:tc>
          <w:tcPr>
            <w:tcW w:type="dxa" w:w="1987"/>
            <w:tcMar>
              <w:top w:w="80" w:type="dxa"/>
              <w:bottom w:w="80" w:type="dxa"/>
              <w:left w:w="120" w:type="dxa"/>
              <w:right w:w="120" w:type="dxa"/>
            </w:tcMar>
            <w:shd w:fill="0052CC"/>
          </w:tcPr>
          <w:p>
            <w:pPr>
              <w:spacing w:before="40" w:after="40"/>
            </w:pPr>
            <w:r>
              <w:rPr>
                <w:b/>
                <w:color w:val="FFFFFF"/>
                <w:sz w:val="20"/>
              </w:rPr>
              <w:t>Role</w:t>
            </w:r>
          </w:p>
        </w:tc>
        <w:tc>
          <w:tcPr>
            <w:tcW w:type="dxa" w:w="1987"/>
            <w:tcMar>
              <w:top w:w="80" w:type="dxa"/>
              <w:bottom w:w="80" w:type="dxa"/>
              <w:left w:w="120" w:type="dxa"/>
              <w:right w:w="120" w:type="dxa"/>
            </w:tcMar>
            <w:shd w:fill="0052CC"/>
          </w:tcPr>
          <w:p>
            <w:pPr>
              <w:spacing w:before="40" w:after="40"/>
            </w:pPr>
            <w:r>
              <w:rPr>
                <w:b/>
                <w:color w:val="FFFFFF"/>
                <w:sz w:val="20"/>
              </w:rPr>
              <w:t>Description of Change</w:t>
            </w:r>
          </w:p>
        </w:tc>
      </w:tr>
      <w:tr>
        <w:tc>
          <w:tcPr>
            <w:tcW w:type="dxa" w:w="1987"/>
            <w:tcMar>
              <w:top w:w="80" w:type="dxa"/>
              <w:bottom w:w="80" w:type="dxa"/>
              <w:left w:w="120" w:type="dxa"/>
              <w:right w:w="120" w:type="dxa"/>
            </w:tcMar>
            <w:shd w:fill="F9FAFC"/>
          </w:tcPr>
          <w:p>
            <w:pPr>
              <w:spacing w:before="40" w:after="40"/>
            </w:pPr>
            <w:r>
              <w:rPr>
                <w:sz w:val="19"/>
              </w:rPr>
              <w:t>1.0</w:t>
            </w:r>
          </w:p>
        </w:tc>
        <w:tc>
          <w:tcPr>
            <w:tcW w:type="dxa" w:w="1987"/>
            <w:tcMar>
              <w:top w:w="80" w:type="dxa"/>
              <w:bottom w:w="80" w:type="dxa"/>
              <w:left w:w="120" w:type="dxa"/>
              <w:right w:w="120" w:type="dxa"/>
            </w:tcMar>
            <w:shd w:fill="F9FAFC"/>
          </w:tcPr>
          <w:p>
            <w:pPr>
              <w:spacing w:before="40" w:after="40"/>
            </w:pPr>
            <w:r>
              <w:rPr>
                <w:sz w:val="19"/>
              </w:rPr>
              <w:t>2026-09-30</w:t>
            </w:r>
          </w:p>
        </w:tc>
        <w:tc>
          <w:tcPr>
            <w:tcW w:type="dxa" w:w="1987"/>
            <w:tcMar>
              <w:top w:w="80" w:type="dxa"/>
              <w:bottom w:w="80" w:type="dxa"/>
              <w:left w:w="120" w:type="dxa"/>
              <w:right w:w="120" w:type="dxa"/>
            </w:tcMar>
            <w:shd w:fill="F9FAFC"/>
          </w:tcPr>
          <w:p>
            <w:pPr>
              <w:spacing w:before="40" w:after="40"/>
            </w:pPr>
            <w:r>
              <w:rPr>
                <w:sz w:val="19"/>
              </w:rPr>
              <w:t>worker_phase3</w:t>
            </w:r>
          </w:p>
        </w:tc>
        <w:tc>
          <w:tcPr>
            <w:tcW w:type="dxa" w:w="1987"/>
            <w:tcMar>
              <w:top w:w="80" w:type="dxa"/>
              <w:bottom w:w="80" w:type="dxa"/>
              <w:left w:w="120" w:type="dxa"/>
              <w:right w:w="120" w:type="dxa"/>
            </w:tcMar>
            <w:shd w:fill="F9FAFC"/>
          </w:tcPr>
          <w:p>
            <w:pPr>
              <w:spacing w:before="40" w:after="40"/>
            </w:pPr>
            <w:r>
              <w:rPr>
                <w:sz w:val="19"/>
              </w:rPr>
              <w:t>Phase 3 Design Lead</w:t>
            </w:r>
          </w:p>
        </w:tc>
        <w:tc>
          <w:tcPr>
            <w:tcW w:type="dxa" w:w="1987"/>
            <w:tcMar>
              <w:top w:w="80" w:type="dxa"/>
              <w:bottom w:w="80" w:type="dxa"/>
              <w:left w:w="120" w:type="dxa"/>
              <w:right w:w="120" w:type="dxa"/>
            </w:tcMar>
            <w:shd w:fill="F9FAFC"/>
          </w:tcPr>
          <w:p>
            <w:pPr>
              <w:spacing w:before="40" w:after="40"/>
            </w:pPr>
            <w:r>
              <w:rPr>
                <w:sz w:val="19"/>
              </w:rPr>
              <w:t>Initial Authoritative Deliverable: 8-Dimension Problem-Solution Fit, Quantitative Benchmarks, Value Proposition Canvas, and Edge Safeguards.</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