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120"/>
      </w:pPr>
      <w:r>
        <w:rPr>
          <w:rFonts w:ascii="Calibri" w:hAnsi="Calibri"/>
          <w:b/>
          <w:color w:val="0052CC"/>
        </w:rPr>
        <w:t>Project Planning Template: Schedule, RACI &amp; Risk Management Plan</w:t>
      </w:r>
    </w:p>
    <w:p>
      <w:pPr>
        <w:spacing w:after="120" w:line="276" w:lineRule="auto"/>
      </w:pPr>
      <w:r>
        <w:rPr>
          <w:b/>
        </w:rPr>
        <w:t>Project Title</w:t>
      </w:r>
      <w:r>
        <w:t>: Streamlining IT Procurement: Automating Standard Laptop Orders with Flow Designer</w:t>
      </w:r>
    </w:p>
    <w:p>
      <w:pPr>
        <w:spacing w:after="120" w:line="276" w:lineRule="auto"/>
      </w:pPr>
      <w:r>
        <w:rPr>
          <w:b/>
        </w:rPr>
        <w:t>Document Identifier</w:t>
      </w:r>
      <w:r>
        <w:t>: PLAN-PHASE4-TEMPLATE-V1.0</w:t>
      </w:r>
    </w:p>
    <w:p>
      <w:pPr>
        <w:spacing w:after="120" w:line="276" w:lineRule="auto"/>
      </w:pPr>
      <w:r>
        <w:rPr>
          <w:b/>
        </w:rPr>
        <w:t>Target Release</w:t>
      </w:r>
      <w:r>
        <w:t>: ServiceNow Washington DC / Xanadu / Utah LTS</w:t>
      </w:r>
    </w:p>
    <w:p>
      <w:pPr>
        <w:spacing w:after="120" w:line="276" w:lineRule="auto"/>
      </w:pPr>
      <w:r>
        <w:rPr>
          <w:b/>
        </w:rPr>
        <w:t>Methodology</w:t>
      </w:r>
      <w:r>
        <w:t>: ServiceNow Implementation Methodology (SIM) / Hybrid Agile-Waterfall</w:t>
      </w:r>
    </w:p>
    <w:p>
      <w:pPr>
        <w:spacing w:after="120" w:line="276" w:lineRule="auto"/>
      </w:pPr>
      <w:r>
        <w:rPr>
          <w:b/>
        </w:rPr>
        <w:t>Author</w:t>
      </w:r>
      <w:r>
        <w:t>: worker_phase4 (Phase 4 Project Planning Deliverables Lead)</w:t>
      </w:r>
    </w:p>
    <w:p>
      <w:pPr>
        <w:spacing w:after="120" w:line="276" w:lineRule="auto"/>
      </w:pPr>
      <w:r>
        <w:rPr>
          <w:b/>
        </w:rPr>
        <w:t>Date</w:t>
      </w:r>
      <w:r>
        <w:t>: 2026-09-30</w:t>
      </w:r>
    </w:p>
    <w:p>
      <w:pPr>
        <w:spacing w:after="120" w:line="276" w:lineRule="auto"/>
      </w:pPr>
      <w:r>
        <w:rPr>
          <w:b/>
        </w:rPr>
        <w:t>Document Status</w:t>
      </w:r>
      <w:r>
        <w:t>: Approved Baseline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1. Executive Summary &amp; Governance Overview</w:t>
      </w:r>
    </w:p>
    <w:p>
      <w:pPr>
        <w:spacing w:after="120" w:line="276" w:lineRule="auto"/>
      </w:pPr>
      <w:r>
        <w:t xml:space="preserve">This document provides the operational execution baseline for the </w:t>
      </w:r>
      <w:r>
        <w:rPr>
          <w:b/>
        </w:rPr>
        <w:t>Automated Standard Laptop Procurement</w:t>
      </w:r>
      <w:r>
        <w:t xml:space="preserve"> ServiceNow initiative. It details the end-to-end project plan, resource allocation budget, stakeholder governance matrix, and comprehensive enterprise risk management strategy.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Key Planning Baselines</w:t>
      </w:r>
    </w:p>
    <w:p>
      <w:pPr>
        <w:pStyle w:val="ListBullet"/>
        <w:spacing w:after="40"/>
      </w:pPr>
      <w:r>
        <w:rPr>
          <w:b/>
        </w:rPr>
        <w:t>Total Project Duration</w:t>
      </w:r>
      <w:r>
        <w:t>: 12 Weeks (6 Two-Week Agile Sprints)</w:t>
      </w:r>
    </w:p>
    <w:p>
      <w:pPr>
        <w:pStyle w:val="ListBullet"/>
        <w:spacing w:after="40"/>
      </w:pPr>
      <w:r>
        <w:rPr>
          <w:b/>
        </w:rPr>
        <w:t>Execution Window</w:t>
      </w:r>
      <w:r>
        <w:t>: October 5, 2026 – December 25, 2026</w:t>
      </w:r>
    </w:p>
    <w:p>
      <w:pPr>
        <w:pStyle w:val="ListBullet"/>
        <w:spacing w:after="40"/>
      </w:pPr>
      <w:r>
        <w:rPr>
          <w:b/>
        </w:rPr>
        <w:t>Total Engineering Effort</w:t>
      </w:r>
      <w:r>
        <w:t xml:space="preserve">: </w:t>
      </w:r>
      <w:r>
        <w:rPr>
          <w:b/>
        </w:rPr>
        <w:t>150 Person-Days (1,200 Engineering Hours)</w:t>
      </w:r>
    </w:p>
    <w:p>
      <w:pPr>
        <w:pStyle w:val="ListBullet"/>
        <w:spacing w:after="40"/>
      </w:pPr>
      <w:r>
        <w:rPr>
          <w:b/>
        </w:rPr>
        <w:t>Core Platform Engine</w:t>
      </w:r>
      <w:r>
        <w:t>: ServiceNow Flow Designer (Background Asynchronous Execution)</w:t>
      </w:r>
    </w:p>
    <w:p>
      <w:pPr>
        <w:pStyle w:val="ListBullet"/>
        <w:spacing w:after="40"/>
      </w:pPr>
      <w:r>
        <w:rPr>
          <w:b/>
        </w:rPr>
        <w:t>Primary Success Metric</w:t>
      </w:r>
      <w:r>
        <w:t xml:space="preserve">: End-to-end procurement turnaround compressed from 14.2 business days to </w:t>
      </w:r>
      <w:r>
        <w:rPr>
          <w:b/>
        </w:rPr>
        <w:t>&lt;72 hours (&lt;3 business days)</w:t>
      </w:r>
      <w:r>
        <w:t xml:space="preserve"> with 100% automated asset tracking in </w:t>
      </w:r>
      <w:r>
        <w:rPr>
          <w:rFonts w:ascii="Consolas" w:hAnsi="Consolas"/>
          <w:color w:val="802020"/>
          <w:sz w:val="19"/>
        </w:rPr>
        <w:t>alm_hardware</w:t>
      </w:r>
      <w:r>
        <w:t>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2. 12-Week / 6-Sprint Implementation Schedule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2.1 Master Schedule &amp; Sprint Breakdown</w:t>
      </w:r>
    </w:p>
    <w:p>
      <w:pPr>
        <w:spacing w:after="120" w:line="276" w:lineRule="auto"/>
      </w:pPr>
      <w:r>
        <w:t>The project lifecycle is structured across six consecutive 2-week iterations conforming to the ServiceNow Implementation Methodology (SIM):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gantt</w:t>
              <w:br/>
              <w:t xml:space="preserve">    title Automated Laptop Procurement: 12-Week Master Implementation Schedule</w:t>
              <w:br/>
              <w:t xml:space="preserve">    dateFormat  YYYY-MM-DD</w:t>
              <w:br/>
              <w:t xml:space="preserve">    axisFormat  %b %d</w:t>
              <w:br/>
              <w:br/>
              <w:t xml:space="preserve">    section Sprint 0 (Weeks 1-2)</w:t>
              <w:br/>
              <w:t xml:space="preserve">    Initiation &amp; Stakeholder Alignment       :active, s0_1, 2026-10-05, 5d</w:t>
              <w:br/>
              <w:t xml:space="preserve">    Architecture Blueprint &amp; Schema Modeling   :s0_2, 2026-10-10, 5d</w:t>
              <w:br/>
              <w:t xml:space="preserve">    Gate 0 Sign-off (Charter &amp; Baseline)      :milestone, m0, 2026-10-16, 0d</w:t>
              <w:br/>
              <w:br/>
              <w:t xml:space="preserve">    section Sprint 1 (Weeks 3-4)</w:t>
              <w:br/>
              <w:t xml:space="preserve">    Catalog Item Definition &amp; Category Binding :s1_1, 2026-10-19, 5d</w:t>
              <w:br/>
              <w:t xml:space="preserve">    Variable Sets &amp; UI Policies Build          :s1_2, 2026-10-24, 5d</w:t>
              <w:br/>
              <w:t xml:space="preserve">    Catalog Client Scripts &amp; Form Layouts      :s1_3, 2026-10-27, 4d</w:t>
              <w:br/>
              <w:t xml:space="preserve">    Gate 1 Sign-off (Catalog UX Freeze)       :milestone, m1, 2026-10-30, 0d</w:t>
              <w:br/>
              <w:br/>
              <w:t xml:space="preserve">    section Sprint 2 (Weeks 5-6)</w:t>
              <w:br/>
              <w:t xml:space="preserve">    Flow Designer Core Trigger Configuration   :s2_1, 2026-11-02, 3d</w:t>
              <w:br/>
              <w:t xml:space="preserve">    Ask for Approval Action &amp; 48h Reminders    :s2_2, 2026-11-05, 4d</w:t>
              <w:br/>
              <w:t xml:space="preserve">    Null/Inactive Manager Routing Subflow      :s2_3, 2026-11-09, 3d</w:t>
              <w:br/>
              <w:t xml:space="preserve">    Notification Templates &amp; Transactional Mail:s2_4, 2026-11-11, 3d</w:t>
              <w:br/>
              <w:t xml:space="preserve">    Gate 2 Sign-off (Flow Approval Logic)     :milestone, m2, 2026-11-13, 0d</w:t>
              <w:br/>
              <w:br/>
              <w:t xml:space="preserve">    section Sprint 3 (Weeks 7-8)</w:t>
              <w:br/>
              <w:t xml:space="preserve">    Automated Task 1: Staging &amp; Configuration  :s3_1, 2026-11-16, 4d</w:t>
              <w:br/>
              <w:t xml:space="preserve">    Automated Task 2: Logistics &amp; Deployment   :s3_2, 2026-11-20, 3d</w:t>
              <w:br/>
              <w:t xml:space="preserve">    Bidirectional Asset Sync (alm_hardware)    :s3_3, 2026-11-23, 4d</w:t>
              <w:br/>
              <w:t xml:space="preserve">    Global Flow Error Handler &amp; P2 Incident    :s3_4, 2026-11-25, 3d</w:t>
              <w:br/>
              <w:t xml:space="preserve">    Gate 3 Sign-off (Task &amp; Asset Integration) :milestone, m3, 2026-11-27, 0d</w:t>
              <w:br/>
              <w:br/>
              <w:t xml:space="preserve">    section Sprint 4 (Weeks 9-10)</w:t>
              <w:br/>
              <w:t xml:space="preserve">    SIT Execution &amp; ATF Regression Automation  :s4_1, 2026-11-30, 5d</w:t>
              <w:br/>
              <w:t xml:space="preserve">    Business User Acceptance Testing (UAT)     :s4_2, 2026-12-05, 5d</w:t>
              <w:br/>
              <w:t xml:space="preserve">    UAT Defect Remediation &amp; Retesting         :s4_3, 2026-12-09, 3d</w:t>
              <w:br/>
              <w:t xml:space="preserve">    Gate 4 Sign-off (Formal Business UAT)      :milestone, m4, 2026-12-11, 0d</w:t>
              <w:br/>
              <w:br/>
              <w:t xml:space="preserve">    section Sprint 5 (Weeks 11-12)</w:t>
              <w:br/>
              <w:t xml:space="preserve">    Update Set Collision Checks &amp; CAB Approval :s5_1, 2026-12-14, 3d</w:t>
              <w:br/>
              <w:t xml:space="preserve">    Production Cutover &amp; Live Smoke Testing    :s5_2, 2026-12-17, 2d</w:t>
              <w:br/>
              <w:t xml:space="preserve">    Fulfiller Training &amp; SOP Knowledge Transfer:s5_3, 2026-12-19, 4d</w:t>
              <w:br/>
              <w:t xml:space="preserve">    Hypercare Support &amp; Final Project Closure  :s5_4, 2026-12-21, 5d</w:t>
              <w:br/>
              <w:t xml:space="preserve">    Gate 5 Sign-off (Project Acceptance)       :milestone, m5, 2026-12-25, 0d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2.2 Granular Sprint Activity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Sprint #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Calendar Dates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SIM Stage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Focus &amp; Scope Description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Technical Deliverables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Gate Milestone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Sprint 0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Oct 05 – Oct 16, 2026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Initiate &amp; Examine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Initiation &amp; Architecture Blueprint: Establish project charter, conduct legacy process discovery, formulate DFD Level 0/1, and define target relational data schema.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• Signed Project Charter&lt;br&gt;• DFD Level 0 Context &amp; Level 1 Decomposition&lt;br&gt;• ERD Relational Data Schema across 8 tables&lt;br&gt;• Problem-Solution Fit Blueprint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Gate 0:&lt;br&gt;Architecture &amp; Baseline Scope Approval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Sprint 1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Oct 19 – Oct 30, 2026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Plan &amp; Create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Catalog Item &amp; Variable Foundation: Configure Service Catalog item (Standard Laptop Order), variable sets, dynamic UI policies, and client-side validation scripts.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• sc_cat_item record created in Dev&lt;br&gt;• Standardized Variable Sets (Model, OS, Address)&lt;br&gt;• 3 Catalog UI Policies (Dynamic visibility/lock)&lt;br&gt;• 3 Catalog Client Scripts (Regex address, auto-fill)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Gate 1:&lt;br&gt;Catalog UX &amp; Requirements Freeze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Sprint 2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Nov 02 – Nov 13, 2026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Create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Flow Designer &amp; Approval Engine: Construct core Flow Designer trigger on sc_req_item, configure Ask for Approval logic, implement 48-hour reminders, and build null-manager fallback routing.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• Scoped Flow: SN_PROC_FLOW_Standard_Laptop&lt;br&gt;• Automated Manager Approval logic&lt;br&gt;• Null Manager Exception Subflow to Governance&lt;br&gt;• 4 Formatted HTML Notification Templates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Gate 2:&lt;br&gt;Workflow Approval Logic Verification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Sprint 3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Nov 16 – Nov 27, 2026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Create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Task Automation &amp; Asset CMDB Sync: Implement two-stage sequential fulfillment tasks (sc_task), bidirectional asset sync with alm_hardware, and global runtime error handler.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• Automated Task 1 (Staging &amp; Imaging)&lt;br&gt;• Automated Task 2 (Logistics &amp; Delivery)&lt;br&gt;• Automated alm_hardware Asset Status Action&lt;br&gt;• Global Error Catch Subflow with P2 Incident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Gate 3:&lt;br&gt;Integration &amp; Asset Sync Sign-off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Sprint 4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Nov 30 – Dec 11, 2026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Transition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End-to-End SIT &amp; UAT Testing: Execute System Integration Testing (SIT) in sub-prod, automate regression via ATF, execute 8 formal UAT scenarios, and remediate defects.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• Master Test Plan &amp; 8 Test Scenario Scripts&lt;br&gt;• ATF Automated Regression Test Suite&lt;br&gt;• SIT &amp; UAT Defect Execution Logs&lt;br&gt;• Signed Business UAT Sign-off Certificate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Gate 4:&lt;br&gt;Business UAT &amp; Functional Sign-off</w:t>
            </w:r>
          </w:p>
        </w:tc>
      </w:tr>
      <w:tr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Sprint 5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Dec 14 – Dec 25, 2026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Transition &amp; Close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Production Go-Live &amp; Hypercare Support: Package Update Sets, obtain CAB approval, execute production cutover, run smoke tests, conduct fulfiller training, and deliver 2-week hypercare.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• Scoped Update Set (SN_PROC_FLOW_V1.0.xml)&lt;br&gt;• Production Deployment &amp; Rollback Runbook&lt;br&gt;• SOP Fulfiller Manual &amp; Training Recordings&lt;br&gt;• Final Project Report &amp; Executive KPI Audit</w:t>
            </w:r>
          </w:p>
        </w:tc>
        <w:tc>
          <w:tcPr>
            <w:tcW w:type="dxa" w:w="165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Gate 5:&lt;br&gt;Final Project Acceptance &amp; BAU Transfer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2.3 Effort &amp; Resource Allocation Matrix (150 Person-Days / 1,200 Hours)</w:t>
      </w:r>
    </w:p>
    <w:p>
      <w:pPr>
        <w:spacing w:after="120" w:line="276" w:lineRule="auto"/>
      </w:pPr>
      <w:r>
        <w:t xml:space="preserve">The total project engineering effort of </w:t>
      </w:r>
      <w:r>
        <w:rPr>
          <w:b/>
        </w:rPr>
        <w:t>150 Person-Days (1,200 Hours)</w:t>
      </w:r>
      <w:r>
        <w:t xml:space="preserve"> is allocated across six primary stakeholder roles: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Stakeholder Roles &amp; Responsibilities</w:t>
      </w:r>
    </w:p>
    <w:p>
      <w:pPr>
        <w:pStyle w:val="ListNumber"/>
        <w:spacing w:after="40"/>
      </w:pPr>
      <w:r>
        <w:rPr>
          <w:b/>
        </w:rPr>
        <w:t>PS</w:t>
      </w:r>
      <w:r>
        <w:t xml:space="preserve">: </w:t>
      </w:r>
      <w:r>
        <w:rPr>
          <w:b/>
        </w:rPr>
        <w:t>Project Sponsor</w:t>
      </w:r>
      <w:r>
        <w:t xml:space="preserve"> (VP of Enterprise IT Infrastructure / CIO Delegate) — Executive ownership, budget governance, milestone approvals.</w:t>
      </w:r>
    </w:p>
    <w:p>
      <w:pPr>
        <w:pStyle w:val="ListNumber"/>
        <w:spacing w:after="40"/>
      </w:pPr>
      <w:r>
        <w:rPr>
          <w:b/>
        </w:rPr>
        <w:t>PL</w:t>
      </w:r>
      <w:r>
        <w:t xml:space="preserve">: </w:t>
      </w:r>
      <w:r>
        <w:rPr>
          <w:b/>
        </w:rPr>
        <w:t>IT Procurement Lead</w:t>
      </w:r>
      <w:r>
        <w:t xml:space="preserve"> (Business Process Owner) — Process definition, catalog specifications, business approval routing, UAT sign-off.</w:t>
      </w:r>
    </w:p>
    <w:p>
      <w:pPr>
        <w:pStyle w:val="ListNumber"/>
        <w:spacing w:after="40"/>
      </w:pPr>
      <w:r>
        <w:rPr>
          <w:b/>
        </w:rPr>
        <w:t>SA</w:t>
      </w:r>
      <w:r>
        <w:t xml:space="preserve">: </w:t>
      </w:r>
      <w:r>
        <w:rPr>
          <w:b/>
        </w:rPr>
        <w:t>ServiceNow Solution Architect</w:t>
      </w:r>
      <w:r>
        <w:t xml:space="preserve"> (Platform Master Architect) — Architectural governance, ERD data models, Flow Designer blueprint, security ACLs, code reviews.</w:t>
      </w:r>
    </w:p>
    <w:p>
      <w:pPr>
        <w:pStyle w:val="ListNumber"/>
        <w:spacing w:after="40"/>
      </w:pPr>
      <w:r>
        <w:rPr>
          <w:b/>
        </w:rPr>
        <w:t>SD</w:t>
      </w:r>
      <w:r>
        <w:t xml:space="preserve">: </w:t>
      </w:r>
      <w:r>
        <w:rPr>
          <w:b/>
        </w:rPr>
        <w:t>ServiceNow Senior Developer</w:t>
      </w:r>
      <w:r>
        <w:t xml:space="preserve"> (Lead Platform Configurator) — Flow Designer construction, Service Catalog build, Client Scripts, update set packaging.</w:t>
      </w:r>
    </w:p>
    <w:p>
      <w:pPr>
        <w:pStyle w:val="ListNumber"/>
        <w:spacing w:after="40"/>
      </w:pPr>
      <w:r>
        <w:rPr>
          <w:b/>
        </w:rPr>
        <w:t>QA</w:t>
      </w:r>
      <w:r>
        <w:t xml:space="preserve">: </w:t>
      </w:r>
      <w:r>
        <w:rPr>
          <w:b/>
        </w:rPr>
        <w:t>Lead QA / Test Engineer</w:t>
      </w:r>
      <w:r>
        <w:t xml:space="preserve"> (Quality Assurance Lead) — Test planning, ATF test suite automation, SIT execution, defect triage, UAT coordination.</w:t>
      </w:r>
    </w:p>
    <w:p>
      <w:pPr>
        <w:pStyle w:val="ListNumber"/>
        <w:spacing w:after="40"/>
      </w:pPr>
      <w:r>
        <w:rPr>
          <w:b/>
        </w:rPr>
        <w:t>FT</w:t>
      </w:r>
      <w:r>
        <w:t xml:space="preserve">: </w:t>
      </w:r>
      <w:r>
        <w:rPr>
          <w:b/>
        </w:rPr>
        <w:t>Hardware Fulfillment Lead</w:t>
      </w:r>
      <w:r>
        <w:t xml:space="preserve"> (IT Depot &amp; Logistics Supervisor) — Fulfiller workflow definition, asset management (</w:t>
      </w:r>
      <w:r>
        <w:rPr>
          <w:rFonts w:ascii="Consolas" w:hAnsi="Consolas"/>
          <w:color w:val="802020"/>
          <w:sz w:val="19"/>
        </w:rPr>
        <w:t>alm_hardware</w:t>
      </w:r>
      <w:r>
        <w:t>) validation, technician training.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Granular Sprint-by-Role Effort Allocation Table</w:t>
      </w:r>
    </w:p>
    <w:p>
      <w:pPr>
        <w:spacing w:after="120" w:line="276" w:lineRule="auto"/>
      </w:pPr>
      <w:r>
        <w:rPr>
          <w:i/>
        </w:rPr>
        <w:t>Standard conversion: 1 Person-Day (PD) = 8 Engineering Hours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Sprint #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Calendar Period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PS (PD / Hrs)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PL (PD / Hrs)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SA (PD / Hrs)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SD (PD / Hrs)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QA (PD / Hrs)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FT (PD / Hrs)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Total Person-Days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Total Hours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Sprint 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Oct 05 – Oct 16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 PD / 16h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5 PD / 40h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7 PD / 56h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 PD / 16h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 PD / 16h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 PD / 16h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20 PD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160 hrs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Sprint 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Oct 19 – Oct 30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 PD / 8h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 PD / 32h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6 PD / 48h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10 PD / 80h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 PD / 16h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 PD / 16h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25 PD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200 hrs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Sprint 2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Nov 02 – Nov 13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 PD / 8h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 PD / 16h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6 PD / 48h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15 PD / 120h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 PD / 32h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 PD / 16h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30 PD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240 hrs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Sprint 3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Nov 16 – Nov 27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 PD / 8h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 PD / 16h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 PD / 32h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14 PD / 112h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5 PD / 40h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 PD / 32h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30 PD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240 hrs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Sprint 4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Nov 30 – Dec 11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 PD / 16h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5 PD / 40h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 PD / 24h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 PD / 32h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9 PD / 72h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 PD / 16h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25 PD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200 hrs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Sprint 5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Dec 14 – Dec 25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 PD / 24h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 PD / 32h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 PD / 16h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 PD / 24h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 PD / 32h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 PD / 32h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20 PD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160 hrs</w:t>
            </w:r>
          </w:p>
        </w:tc>
      </w:tr>
      <w:tr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TOTALS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12 Weeks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10 PD / 80h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22 PD / 176h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28 PD / 224h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48 PD / 384h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26 PD / 208h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16 PD / 128h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150 PD</w:t>
            </w:r>
          </w:p>
        </w:tc>
        <w:tc>
          <w:tcPr>
            <w:tcW w:type="dxa" w:w="99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1,200 hrs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pie title Effort Distribution by Stakeholder Role (Total: 150 Person-Days)</w:t>
              <w:br/>
              <w:t xml:space="preserve">    "ServiceNow Senior Developer (48 PD / 32%)" : 48</w:t>
              <w:br/>
              <w:t xml:space="preserve">    "ServiceNow Solution Architect (28 PD / 18.7%)" : 28</w:t>
              <w:br/>
              <w:t xml:space="preserve">    "Lead QA / Test Engineer (26 PD / 17.3%)" : 26</w:t>
              <w:br/>
              <w:t xml:space="preserve">    "IT Procurement Lead (22 PD / 14.7%)" : 22</w:t>
              <w:br/>
              <w:t xml:space="preserve">    "Hardware Fulfillment Lead (16 PD / 10.7%)" : 16</w:t>
              <w:br/>
              <w:t xml:space="preserve">    "Project Sponsor (10 PD / 6.7%)" : 10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3. Multi-Stakeholder RACI Governance Matrix</w:t>
      </w:r>
    </w:p>
    <w:p>
      <w:pPr>
        <w:spacing w:after="120" w:line="276" w:lineRule="auto"/>
      </w:pPr>
      <w:r>
        <w:t>The RACI matrix governs stakeholder participation across all 6 project phases, establishing unambiguous accountability across business, architecture, engineering, quality, and fulfillment disciplines.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3.1 RACI Definitions</w:t>
      </w:r>
    </w:p>
    <w:p>
      <w:pPr>
        <w:pStyle w:val="ListBullet"/>
        <w:spacing w:after="40"/>
      </w:pPr>
      <w:r>
        <w:rPr>
          <w:b/>
        </w:rPr>
        <w:t>R — Responsible</w:t>
      </w:r>
      <w:r>
        <w:t>: The role that conducts the actual work to achieve the deliverable.</w:t>
      </w:r>
    </w:p>
    <w:p>
      <w:pPr>
        <w:pStyle w:val="ListBullet"/>
        <w:spacing w:after="40"/>
      </w:pPr>
      <w:r>
        <w:rPr>
          <w:b/>
        </w:rPr>
        <w:t>A — Accountable</w:t>
      </w:r>
      <w:r>
        <w:t xml:space="preserve">: The single individual with final sign-off authority who approves the deliverable (Only </w:t>
      </w:r>
      <w:r>
        <w:rPr>
          <w:b/>
        </w:rPr>
        <w:t>one "A"</w:t>
      </w:r>
      <w:r>
        <w:t xml:space="preserve"> per activity).</w:t>
      </w:r>
    </w:p>
    <w:p>
      <w:pPr>
        <w:pStyle w:val="ListBullet"/>
        <w:spacing w:after="40"/>
      </w:pPr>
      <w:r>
        <w:rPr>
          <w:b/>
        </w:rPr>
        <w:t>C — Consulted</w:t>
      </w:r>
      <w:r>
        <w:t>: Domain experts providing two-way inputs, feedback, and advisory guidance.</w:t>
      </w:r>
    </w:p>
    <w:p>
      <w:pPr>
        <w:pStyle w:val="ListBullet"/>
        <w:spacing w:after="40"/>
      </w:pPr>
      <w:r>
        <w:rPr>
          <w:b/>
        </w:rPr>
        <w:t>I — Informed</w:t>
      </w:r>
      <w:r>
        <w:t>: Stakeholders updated on progress, milestones, and outcomes via one-way communication.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3.2 Comprehensive RACI Matrix across All 6 Phases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4"/>
        <w:gridCol w:w="1104"/>
        <w:gridCol w:w="1104"/>
        <w:gridCol w:w="1104"/>
        <w:gridCol w:w="1104"/>
        <w:gridCol w:w="1104"/>
        <w:gridCol w:w="1104"/>
        <w:gridCol w:w="1104"/>
        <w:gridCol w:w="1104"/>
      </w:tblGrid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WBS Ref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Project Phase &amp; Work Item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PS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PL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SD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QA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FT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Accountable Authority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1.0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Phase 1: Project Ideation &amp; Initiation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1.1.1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Legacy Procurement Assessment &amp; Baseline Data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IT Procurement Lead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1.1.2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Stakeholder Empathy Interviews &amp; Personas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 / 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Lead QA / Analyst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1.1.3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Project Charter &amp; Target KPI Scorecard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Project Sponsor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1.2.1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Technology Stack &amp; Automation Feasibility Matrix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 / 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1.2.2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Architectural Decision Record (ADR-001) &amp; Gate 0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 / 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2.0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Phase 2: Requirements Engineering &amp; Analysis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2.1.1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End-to-End Customer Journey Map &amp; Wireframes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IT Procurement Lead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2.1.2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Data Flow Diagrams (DFD L0/L1) &amp; Data Dictionary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 / 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2.2.1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Agile User Stories &amp; Gherkin Acceptance Criteria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IT Procurement Lead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2.2.2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Functional &amp; Non-Functional Requirements (FR/NFR)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 / 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3.0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Phase 3: Solution Design &amp; Architecture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3.1.1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Problem-Solution Fit Matrix &amp; Flow Logic Specs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 / 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3.1.2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UML Sequence &amp; 4-Tier Component Architecture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 / 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3.2.1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Entity Relationship Diagram (ERD) &amp; State Matrix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 / 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3.2.2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Security Architecture, RBAC ACLs &amp; Gate 1 Sign-off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 / 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4.0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Phase 4: Project Planning &amp; Operational Governance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4.1.1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4-Level Work Breakdown Structure (WBS)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4.1.2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Task Dependency Network &amp; Critical Path (CPA)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 / 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4.2.1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12-Week Sprint Schedule &amp; 150 PD Resource Plan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Project Sponsor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4.2.2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RACI Governance Matrix &amp; Enterprise Risk Plan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Project Sponsor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5.0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Phase 5: Development, Configuration &amp; QA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5.1.1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Service Catalog Item &amp; Variable Sets Build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Solution Architect (Approves)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5.1.2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Catalog UI Policies &amp; Client Scripts Authoring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Solution Architect (Approves)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5.2.1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Flow Designer Trigger &amp; Approval Subflow Build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Solution Architect (Approves)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5.2.2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Sequential Catalog Tasks &amp; Asset Sync Action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Solution Architect (Approves)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5.2.3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Email Notification Templates &amp; Task SLA Config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Solution Architect (Approves)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5.3.1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Master Test Strategy &amp; Scenario Script Formulation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 / 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Lead QA / Test Engineer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5.3.2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System Integration Testing (SIT) &amp; ATF Automation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Solution Architect (Approves)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5.3.3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Business User Acceptance Testing (UAT) Execution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Lead QA (Approves Quality)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5.3.4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Formal Business UAT Sign-off (Gate 4)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Project Sponsor &amp; Process Owner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6.0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Phase 6: Deployment, Documentation &amp; Transition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6.1.1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Scoped Update Set Packaging &amp; CAB Approval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 / 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6.1.2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Production Deployment Cutover &amp; Smoke Test (Gate 5)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Solution Architect (Approves)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6.2.1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Authoritative FSD Blueprint &amp; Final Project Report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Project Sponsor (Approves)</w:t>
            </w:r>
          </w:p>
        </w:tc>
      </w:tr>
      <w:tr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6.2.2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SOP Fulfiller Manuals, Training &amp; Hypercare Handover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A / R</w:t>
            </w:r>
          </w:p>
        </w:tc>
        <w:tc>
          <w:tcPr>
            <w:tcW w:type="dxa" w:w="11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Hardware Fulfillment Lead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4. Comprehensive Enterprise Risk Management Plan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4.1 Risk Assessment Framework &amp; 5x5 Matrix</w:t>
      </w:r>
    </w:p>
    <w:p>
      <w:pPr>
        <w:spacing w:after="120" w:line="276" w:lineRule="auto"/>
      </w:pPr>
      <w:r>
        <w:t>Risks are quantified using an enterprise 5x5 Likelihood and Impact matrix:</w:t>
      </w:r>
    </w:p>
    <w:p>
      <w:pPr>
        <w:spacing w:after="120" w:line="276" w:lineRule="auto"/>
      </w:pPr>
      <w:r>
        <w:t>$$\text{Risk Score} = \text{Likelihood (1–5)} \times \text{Impact (1–5)}$$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Likelihood Scale</w:t>
      </w:r>
    </w:p>
    <w:p>
      <w:pPr>
        <w:pStyle w:val="ListNumber"/>
        <w:spacing w:after="40"/>
      </w:pPr>
      <w:r>
        <w:rPr>
          <w:b/>
        </w:rPr>
        <w:t>Rare</w:t>
      </w:r>
      <w:r>
        <w:t xml:space="preserve"> (&lt;10% probability of occurrence)</w:t>
      </w:r>
    </w:p>
    <w:p>
      <w:pPr>
        <w:pStyle w:val="ListNumber"/>
        <w:spacing w:after="40"/>
      </w:pPr>
      <w:r>
        <w:rPr>
          <w:b/>
        </w:rPr>
        <w:t>Unlikely</w:t>
      </w:r>
      <w:r>
        <w:t xml:space="preserve"> (10% – 25% probability)</w:t>
      </w:r>
    </w:p>
    <w:p>
      <w:pPr>
        <w:pStyle w:val="ListNumber"/>
        <w:spacing w:after="40"/>
      </w:pPr>
      <w:r>
        <w:rPr>
          <w:b/>
        </w:rPr>
        <w:t>Possible</w:t>
      </w:r>
      <w:r>
        <w:t xml:space="preserve"> (26% – 50% probability)</w:t>
      </w:r>
    </w:p>
    <w:p>
      <w:pPr>
        <w:pStyle w:val="ListNumber"/>
        <w:spacing w:after="40"/>
      </w:pPr>
      <w:r>
        <w:rPr>
          <w:b/>
        </w:rPr>
        <w:t>Likely</w:t>
      </w:r>
      <w:r>
        <w:t xml:space="preserve"> (51% – 75% probability)</w:t>
      </w:r>
    </w:p>
    <w:p>
      <w:pPr>
        <w:pStyle w:val="ListNumber"/>
        <w:spacing w:after="40"/>
      </w:pPr>
      <w:r>
        <w:rPr>
          <w:b/>
        </w:rPr>
        <w:t>Almost Certain</w:t>
      </w:r>
      <w:r>
        <w:t xml:space="preserve"> (&gt;75% probability)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Impact Scale</w:t>
      </w:r>
    </w:p>
    <w:p>
      <w:pPr>
        <w:pStyle w:val="ListNumber"/>
        <w:spacing w:after="40"/>
      </w:pPr>
      <w:r>
        <w:rPr>
          <w:b/>
        </w:rPr>
        <w:t>Insignificant</w:t>
      </w:r>
      <w:r>
        <w:t>: Negligible operational impact; easily absorbed within daily team tasks.</w:t>
      </w:r>
    </w:p>
    <w:p>
      <w:pPr>
        <w:pStyle w:val="ListNumber"/>
        <w:spacing w:after="40"/>
      </w:pPr>
      <w:r>
        <w:rPr>
          <w:b/>
        </w:rPr>
        <w:t>Minor</w:t>
      </w:r>
      <w:r>
        <w:t>: Minor schedule delay (&lt;2 days); minimal financial or user experience impact.</w:t>
      </w:r>
    </w:p>
    <w:p>
      <w:pPr>
        <w:pStyle w:val="ListNumber"/>
        <w:spacing w:after="40"/>
      </w:pPr>
      <w:r>
        <w:rPr>
          <w:b/>
        </w:rPr>
        <w:t>Moderate</w:t>
      </w:r>
      <w:r>
        <w:t>: Noticeable delay (3–5 days); impacts milestone completion; requires management intervention.</w:t>
      </w:r>
    </w:p>
    <w:p>
      <w:pPr>
        <w:pStyle w:val="ListNumber"/>
        <w:spacing w:after="40"/>
      </w:pPr>
      <w:r>
        <w:rPr>
          <w:b/>
        </w:rPr>
        <w:t>Major</w:t>
      </w:r>
      <w:r>
        <w:t>: Substantial schedule slippage (1–2 weeks); significant cost overrun; high user frustration.</w:t>
      </w:r>
    </w:p>
    <w:p>
      <w:pPr>
        <w:pStyle w:val="ListNumber"/>
        <w:spacing w:after="40"/>
      </w:pPr>
      <w:r>
        <w:rPr>
          <w:b/>
        </w:rPr>
        <w:t>Catastrophic</w:t>
      </w:r>
      <w:r>
        <w:t>: Critical system downtime; unrecoverable data loss; failed go-live; compliance/legal breach.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5E6C84"/>
        </w:rPr>
        <w:t>Severity Classification &amp; Response Thresholds</w:t>
      </w:r>
    </w:p>
    <w:p>
      <w:pPr>
        <w:pStyle w:val="ListBullet"/>
        <w:spacing w:after="40"/>
      </w:pPr>
      <w:r>
        <w:rPr>
          <w:b/>
        </w:rPr>
        <w:t>Score 20 – 25 (Critical / Red)</w:t>
      </w:r>
      <w:r>
        <w:t>: Immediate executive escalation; daily steering committee review; work on affected stream halted until mitigation is implemented.</w:t>
      </w:r>
    </w:p>
    <w:p>
      <w:pPr>
        <w:pStyle w:val="ListBullet"/>
        <w:spacing w:after="40"/>
      </w:pPr>
      <w:r>
        <w:rPr>
          <w:b/>
        </w:rPr>
        <w:t>Score 15 – 19 (High / Orange)</w:t>
      </w:r>
      <w:r>
        <w:t>: Active mitigation plan required; weekly project board review; designated contingency budget.</w:t>
      </w:r>
    </w:p>
    <w:p>
      <w:pPr>
        <w:pStyle w:val="ListBullet"/>
        <w:spacing w:after="40"/>
      </w:pPr>
      <w:r>
        <w:rPr>
          <w:b/>
        </w:rPr>
        <w:t>Score 8 – 14 (Medium / Yellow)</w:t>
      </w:r>
      <w:r>
        <w:t>: Monitored at sprint retrospectives; managed through standard project management controls.</w:t>
      </w:r>
    </w:p>
    <w:p>
      <w:pPr>
        <w:pStyle w:val="ListBullet"/>
        <w:spacing w:after="40"/>
      </w:pPr>
      <w:r>
        <w:rPr>
          <w:b/>
        </w:rPr>
        <w:t>Score 1 – 7 (Low / Green)</w:t>
      </w:r>
      <w:r>
        <w:t>: Logged and reviewed periodically; accepted within baseline project tolerance.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 xml:space="preserve">       5 |   5    10    15    20    25</w:t>
              <w:br/>
              <w:t>I      4 |   4     8    12    16    20</w:t>
              <w:br/>
              <w:t>M      3 |   3     6     9    12    15</w:t>
              <w:br/>
              <w:t>P      2 |   2     4     6     8    10</w:t>
              <w:br/>
              <w:t>A      1 |   1     2     3     4     5</w:t>
              <w:br/>
              <w:t>C        +-----------------------------</w:t>
              <w:br/>
              <w:t>T            1     2     3     4     5</w:t>
              <w:br/>
              <w:t xml:space="preserve">                   LIKELIHOOD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4.2 Master Enterprise Risk Register (10 Enterprise Risks)</w:t>
      </w:r>
    </w:p>
    <w:p>
      <w:pPr>
        <w:spacing w:after="120" w:line="276" w:lineRule="auto"/>
      </w:pPr>
      <w:r>
        <w:t>The risk register below details 10 prioritized risks across Technical, Operational, Governance, Data Quality, and Security domains, complete with pre- and post-mitigation scores: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</w:tblGrid>
      <w:tr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Risk ID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Detailed Risk Statement (Condition-Cause-Consequence)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Pre L (1-5)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Pre I (1-5)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Pre Score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Pre Level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Proactive Mitigation Strategy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Reactive Contingency Plan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Risk Indicator (KRI) / Trigger Event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Post L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Post I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Post Score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Residual Level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Risk Owner</w:t>
            </w:r>
          </w:p>
        </w:tc>
      </w:tr>
      <w:tr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RSK-01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Process / Governance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Manager Approval Bottleneck &amp; Inaction&lt;br&gt;*Condition*: Line managers do not act on approval requests.&lt;br&gt;*Cause*: High email volume, lack of mobile access, vacation periods.&lt;br&gt;*Consequence*: Requests exceed the 72-hour fulfillment SLA, causing employee onboarding delays.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Medium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• Deploy ServiceNow Actionable Message notification allowing 1-click Outlook/Mobile approval without login.&lt;br&gt;• Implement automated 48-hour email reminder.&lt;br&gt;• Provide delegation rule guide.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Automated escalation subflow reassigns approval to Department Head (cmn_department.dept_head) at T+120h (5 business days).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Pending approval age exceeds 48 business hours.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Low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IT Procurement Lead</w:t>
            </w:r>
          </w:p>
        </w:tc>
      </w:tr>
      <w:tr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RSK-02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Data Quality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Missing or Inactive Manager in User Profile&lt;br&gt;*Condition*: Flow Designer attempts to route approval to an empty or inactive manager reference.&lt;br&gt;*Cause*: Stale Active Directory / HR feed data or contractor status.&lt;br&gt;*Consequence*: Flow hangs indefinitely, stalling the procurement lifecycle.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16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High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• Run pre-implementation data cleanliness audit on sys_user identifying accounts with null managers.&lt;br&gt;• Add Flow Designer conditional check before Ask for Approval.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Flow automatically intercepts null manager condition, logs an audit warning, and routes approval to IT Procurement Approvers group.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Flow execution detects opened_by.manager == nil or active == false.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Low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ServiceNow Architect</w:t>
            </w:r>
          </w:p>
        </w:tc>
      </w:tr>
      <w:tr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RSK-03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Operational / Supply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Hardware Stock Depletion &amp; Inventory Lag&lt;br&gt;*Condition*: Standard laptop hardware is physically out of stock while catalog item accepts orders.&lt;br&gt;*Cause*: Supply chain disruptions, bulk new hire classes, delayed vendor shipments.&lt;br&gt;*Consequence*: Staged tickets breach 72-hour SLA, causing user escalations.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15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High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• Configure real-time stock tally on alm_hardware (install_status = In Stock, substatus = Available).&lt;br&gt;• Automated alert to Procurement when stock drops below 15 units.&lt;br&gt;• Vendor buffer stock agreement.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Technician marks Task 1 Closed Incomplete with reason 'Out of Stock'. Flow initiates emergency PO task to Procurement and notifies user of backorder.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Available warehouse laptop count falls below 10 units.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Low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Hardware Fulfillment Lead</w:t>
            </w:r>
          </w:p>
        </w:tc>
      </w:tr>
      <w:tr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RSK-04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Technical / Architecture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CMDB &amp; Asset Synchronization Failure&lt;br&gt;*Condition*: Flow fails to update alm_hardware state or duplicate asset tags are assigned.&lt;br&gt;*Cause*: Schema mismatch, concurrent update collisions, or improper technician entry.&lt;br&gt;*Consequence*: Ghost inventory, untracked hardware assets, and failed financial audits.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Medium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• Enforce strict Data Policies on sc_task requiring valid Asset Tag and Serial Number before closure.&lt;br&gt;• Script asset update action with transactional rollback and mutex locking.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Flow catch-block logs asset sync error, leaves RITM in Fulfillment, and generates P3 asset remediation task for ITAM team.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Flow execution engine catches database constraint error on alm_hardware.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Low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ServiceNow Architect</w:t>
            </w:r>
          </w:p>
        </w:tc>
      </w:tr>
      <w:tr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RSK-05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Change Management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User Adoption Resistance &amp; Shadow IT Ordering&lt;br&gt;*Condition*: Employees and managers bypass the new Service Portal catalog and continue emailing requests.&lt;br&gt;*Cause*: Entrenched manual habits, lack of portal awareness.&lt;br&gt;*Consequence*: Unapproved purchases, lack of centralized tracking, and unmet ROI targets.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Medium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• Launch comprehensive change campaign including video tutorials and executive communications.&lt;br&gt;• Pin "Standard Laptop Order" prominently on Employee Center homepage.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Configure inbound email rule to auto-reject procurement emails with polite response redirecting to the Service Portal catalog.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More than 10 email-based laptop orders received at Service Desk in a single week.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Low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IT Procurement Lead</w:t>
            </w:r>
          </w:p>
        </w:tc>
      </w:tr>
      <w:tr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RSK-06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Scope Governance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Scope Creep &amp; Non-Standard Hardware Requests&lt;br&gt;*Condition*: Users request non-standard RAM, storage, or GPU options within the standard catalog workflow.&lt;br&gt;*Cause*: Unique project requirements, developer preferences.&lt;br&gt;*Consequence*: Fulfillers cannot fulfill standard tasks, causing workflow stagnation.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Medium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• Strictly configure Catalog Item with rigid dropdown selections and zero open-text configuration fields.&lt;br&gt;• Prominently display banner: "For custom hardware, submit an Executive Hardware Request."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Form validation script rejects non-standard requests; fulfillers instructed to cancel tasks attempting custom modifications.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User enters non-standard specification text in general delivery instructions.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Low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IT Procurement Lead</w:t>
            </w:r>
          </w:p>
        </w:tc>
      </w:tr>
      <w:tr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RSK-07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Security &amp; Privacy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Security &amp; PII Data Exposure of Home Addresses&lt;br&gt;*Condition*: Employees' private home shipping addresses and phone numbers are exposed across the enterprise.&lt;br&gt;*Cause*: Overly permissive variable access control lists (ACLs).&lt;br&gt;*Consequence*: GDPR/CCPA privacy violation, internal audit sanction, employee distress.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5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10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Medium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• Apply strict sc_item_option ACLs restricting delivery address and phone variables to itil, it_logistics, and the requester.&lt;br&gt;• Hide delivery variables on general portal search results.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Emergency security script disables portal search indexing for requested item variable tables; security officer conducts audit of access logs.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Internal security scan flags unmasked PII variable accessible by snc_internal.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Low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ServiceNow Architect</w:t>
            </w:r>
          </w:p>
        </w:tc>
      </w:tr>
      <w:tr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RSK-08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Performance / Infra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Flow Engine Contention &amp; Execution Latency&lt;br&gt;*Condition*: Simultaneous submission of hundreds of laptop requests causes Flow Designer queue backup.&lt;br&gt;*Cause*: Bulk corporate hiring events, synchronous execution blocking worker threads.&lt;br&gt;*Consequence*: Delayed order acknowledgments, slow UI response times, and timeout errors.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8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Medium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• Enforce strict Background (Asynchronous) execution thread configuration on Flow Designer trigger.&lt;br&gt;• Optimize data pill queries to avoid iterative GlideRecord looping.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ServiceNow Platform Support temporarily increases background worker threads and throttles non-critical scheduled jobs during peak hiring events.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Flow execution queue delay exceeds 60 seconds in sys_flow_context.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Low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Senior Developer</w:t>
            </w:r>
          </w:p>
        </w:tc>
      </w:tr>
      <w:tr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RSK-09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Platform Lifecycle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ServiceNow Version Upgrade Breaking Changes&lt;br&gt;*Condition*: Future ServiceNow platform family upgrade (e.g., Xanadu to Yokohama) deprecates flow actions.&lt;br&gt;*Cause*: Changes to core Spoke actions, database schema modifications.&lt;br&gt;*Consequence*: Flow fails to trigger or errors during task generation post-upgrade.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6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Low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• Utilize 100% Out-Of-The-Box (OOTB) Flow Designer core actions (Ask for Approval, Create Task).&lt;br&gt;• Zero deprecated JavaScript APIs.&lt;br&gt;• Implement comprehensive ATF regression suite.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Automated Test Framework (ATF) runs in Early Availability (EA) sandbox; defects patched in sub-prod prior to production upgrade.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ATF regression test failure during upgrade testing window.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Low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Senior Developer</w:t>
            </w:r>
          </w:p>
        </w:tc>
      </w:tr>
      <w:tr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RSK-10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Operational Compliance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Technician Bypass of Mandatory Asset Linkage&lt;br&gt;*Condition*: Hardware technicians close fulfillment tasks without linking serial number or asset tag.&lt;br&gt;*Cause*: Time pressure, manual oversight, lack of physical barcode scanners.&lt;br&gt;*Consequence*: Unassigned laptops distributed, leading to asset inventory discrepancy.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3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4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12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Medium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• Implement mandatory UI Policy and Data Policy on sc_task making Asset Tag and Serial Number non-editable until populated and strictly required for closure.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State transition to Closed Complete is aborted by system with error message if asset field is blank.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Technician attempts to update sc_task.state = 3 without linking an asset record.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1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Low</w:t>
            </w:r>
          </w:p>
        </w:tc>
        <w:tc>
          <w:tcPr>
            <w:tcW w:type="dxa" w:w="6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Hardware Fulfillment Lead</w:t>
            </w:r>
          </w:p>
        </w:tc>
      </w:tr>
    </w:tbl>
    <w:p>
      <w:pPr>
        <w:spacing w:after="120"/>
      </w:pP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4.3 Risk Heat Map Visual: Pre- vs. Post-Mitigation</w:t>
      </w:r>
    </w:p>
    <w:p>
      <w:pPr>
        <w:spacing w:after="120" w:line="276" w:lineRule="auto"/>
      </w:pPr>
      <w:r>
        <w:t>The chart below contrasts the pre-mitigation risk profile against the post-mitigation residual risk state, illustrating the substantial risk reduction achieved through the proactive architectural and governance controls: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4F5F7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333333"/>
                <w:sz w:val="18"/>
              </w:rPr>
              <w:t>PRE-MITIGATION RISK PROFILE</w:t>
              <w:br/>
              <w:t>---------------------------------------------------------------------------------</w:t>
              <w:br/>
              <w:t>Impact 5 |                             [RSK-07]                [RSK-03]</w:t>
              <w:br/>
              <w:t>Impact 4 |                             [RSK-08]   [RSK-04,10]  [RSK-02]</w:t>
              <w:br/>
              <w:t>Impact 3 |                                                     [RSK-01,05] [RSK-09(I:3,L:2)]</w:t>
              <w:br/>
              <w:t>Impact 2 |                                                     [RSK-06]</w:t>
              <w:br/>
              <w:t xml:space="preserve">Impact 1 | </w:t>
              <w:br/>
              <w:t xml:space="preserve">         +-----------------------------------------------------------------------</w:t>
              <w:br/>
              <w:t xml:space="preserve">           Likelihood 1   Likelihood 2   Likelihood 3   Likelihood 4   Likelihood 5</w:t>
              <w:br/>
              <w:br/>
              <w:t>POST-MITIGATION RESIDUAL PROFILE</w:t>
              <w:br/>
              <w:t>---------------------------------------------------------------------------------</w:t>
              <w:br/>
              <w:t xml:space="preserve">Impact 5 | </w:t>
              <w:br/>
              <w:t xml:space="preserve">Impact 4 | </w:t>
              <w:br/>
              <w:t>Impact 3 | [RSK-02,04,07,08] [RSK-03]</w:t>
              <w:br/>
              <w:t>Impact 2 | [RSK-09,10]       [RSK-01,05,06]</w:t>
              <w:br/>
              <w:t xml:space="preserve">Impact 1 | </w:t>
              <w:br/>
              <w:t xml:space="preserve">         +-----------------------------------------------------------------------</w:t>
              <w:br/>
              <w:t xml:space="preserve">           Likelihood 1      Likelihood 2   Likelihood 3   Likelihood 4   Likelihood 5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i/>
        </w:rPr>
        <w:t>Summary of Risk Reduction</w:t>
      </w:r>
      <w:r>
        <w:t>:</w:t>
      </w:r>
    </w:p>
    <w:p>
      <w:pPr>
        <w:pStyle w:val="ListBullet"/>
        <w:spacing w:after="40"/>
      </w:pPr>
      <w:r>
        <w:rPr>
          <w:b/>
        </w:rPr>
        <w:t>Critical Risks (20–25)</w:t>
      </w:r>
      <w:r>
        <w:t xml:space="preserve">: Reduced from </w:t>
      </w:r>
      <w:r>
        <w:rPr>
          <w:b/>
        </w:rPr>
        <w:t>0</w:t>
      </w:r>
      <w:r>
        <w:t xml:space="preserve"> to </w:t>
      </w:r>
      <w:r>
        <w:rPr>
          <w:b/>
        </w:rPr>
        <w:t>0</w:t>
      </w:r>
      <w:r>
        <w:t>.</w:t>
      </w:r>
    </w:p>
    <w:p>
      <w:pPr>
        <w:pStyle w:val="ListBullet"/>
        <w:spacing w:after="40"/>
      </w:pPr>
      <w:r>
        <w:rPr>
          <w:b/>
        </w:rPr>
        <w:t>High Risks (15–19)</w:t>
      </w:r>
      <w:r>
        <w:t xml:space="preserve">: Reduced from </w:t>
      </w:r>
      <w:r>
        <w:rPr>
          <w:b/>
        </w:rPr>
        <w:t>2 (RSK-02, RSK-03)</w:t>
      </w:r>
      <w:r>
        <w:t xml:space="preserve"> to </w:t>
      </w:r>
      <w:r>
        <w:rPr>
          <w:b/>
        </w:rPr>
        <w:t>0</w:t>
      </w:r>
      <w:r>
        <w:t>.</w:t>
      </w:r>
    </w:p>
    <w:p>
      <w:pPr>
        <w:pStyle w:val="ListBullet"/>
        <w:spacing w:after="40"/>
      </w:pPr>
      <w:r>
        <w:rPr>
          <w:b/>
        </w:rPr>
        <w:t>Medium Risks (8–14)</w:t>
      </w:r>
      <w:r>
        <w:t xml:space="preserve">: Reduced from </w:t>
      </w:r>
      <w:r>
        <w:rPr>
          <w:b/>
        </w:rPr>
        <w:t>6 (RSK-01, 04, 05, 07, 08, 10)</w:t>
      </w:r>
      <w:r>
        <w:t xml:space="preserve"> to </w:t>
      </w:r>
      <w:r>
        <w:rPr>
          <w:b/>
        </w:rPr>
        <w:t>0</w:t>
      </w:r>
      <w:r>
        <w:t>.</w:t>
      </w:r>
    </w:p>
    <w:p>
      <w:pPr>
        <w:pStyle w:val="ListBullet"/>
        <w:spacing w:after="40"/>
      </w:pPr>
      <w:r>
        <w:rPr>
          <w:b/>
        </w:rPr>
        <w:t>Low / Controlled Risks (1–7)</w:t>
      </w:r>
      <w:r>
        <w:t xml:space="preserve">: </w:t>
      </w:r>
      <w:r>
        <w:rPr>
          <w:b/>
        </w:rPr>
        <w:t>100% of risks successfully transitioned into Low / Controlled status</w:t>
      </w:r>
      <w:r>
        <w:t>.</w:t>
      </w:r>
    </w:p>
    <w:p>
      <w:pPr>
        <w:spacing w:after="120" w:line="276" w:lineRule="auto"/>
      </w:pPr>
      <w:r>
        <w:t>---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344563"/>
        </w:rPr>
        <w:t>4.4 Ongoing Risk Monitoring &amp; Escalation Protocol</w:t>
      </w:r>
    </w:p>
    <w:p>
      <w:pPr>
        <w:spacing w:after="120" w:line="276" w:lineRule="auto"/>
      </w:pPr>
      <w:r>
        <w:t>To maintain active risk governance throughout the 12-week implementation lifecycle, the following monitoring and escalation cadence is enforced:</w:t>
      </w:r>
    </w:p>
    <w:p>
      <w:pPr>
        <w:pStyle w:val="ListNumber"/>
        <w:spacing w:after="40"/>
      </w:pPr>
      <w:r>
        <w:rPr>
          <w:b/>
        </w:rPr>
        <w:t>Daily Stand-up Triage (Scrum Level)</w:t>
      </w:r>
      <w:r>
        <w:t>:</w:t>
      </w:r>
    </w:p>
    <w:p>
      <w:pPr>
        <w:pStyle w:val="ListBullet"/>
        <w:spacing w:after="40"/>
      </w:pPr>
      <w:r>
        <w:t>Senior Developer and Lead QA review operational blockers daily. Any issue threatening task completion within 24 hours is flagged to the Solution Architect.</w:t>
      </w:r>
    </w:p>
    <w:p>
      <w:pPr>
        <w:pStyle w:val="ListNumber"/>
        <w:spacing w:after="40"/>
      </w:pPr>
      <w:r>
        <w:rPr>
          <w:b/>
        </w:rPr>
        <w:t>Weekly Risk Review (Project Core Team)</w:t>
      </w:r>
      <w:r>
        <w:t>:</w:t>
      </w:r>
    </w:p>
    <w:p>
      <w:pPr>
        <w:pStyle w:val="ListBullet"/>
        <w:spacing w:after="40"/>
      </w:pPr>
      <w:r>
        <w:t>Weekly 30-minute risk register review led by the Deliverables Lead and Solution Architect.</w:t>
      </w:r>
    </w:p>
    <w:p>
      <w:pPr>
        <w:pStyle w:val="ListBullet"/>
        <w:spacing w:after="40"/>
      </w:pPr>
      <w:r>
        <w:t>KRIs (Key Risk Indicators) are formally evaluated against telemetry (e.g., approval age, inventory levels, ATF pass rates).</w:t>
      </w:r>
    </w:p>
    <w:p>
      <w:pPr>
        <w:pStyle w:val="ListNumber"/>
        <w:spacing w:after="40"/>
      </w:pPr>
      <w:r>
        <w:rPr>
          <w:b/>
        </w:rPr>
        <w:t>Bi-Weekly Steering Committee Escalation</w:t>
      </w:r>
      <w:r>
        <w:t>:</w:t>
      </w:r>
    </w:p>
    <w:p>
      <w:pPr>
        <w:pStyle w:val="ListBullet"/>
        <w:spacing w:after="40"/>
      </w:pPr>
      <w:r>
        <w:t>Executive dashboard presented to the Project Sponsor and IT Procurement Lead at every Sprint Gate.</w:t>
      </w:r>
    </w:p>
    <w:p>
      <w:pPr>
        <w:pStyle w:val="ListBullet"/>
        <w:spacing w:after="40"/>
      </w:pPr>
      <w:r>
        <w:t>Any residual risk transitioning to Score $\ge 12$ triggers an emergency Steering Committee session within 48 hours to authorize contingency funding or resource reassignment.</w:t>
      </w:r>
    </w:p>
    <w:p>
      <w:pPr>
        <w:spacing w:after="120" w:line="276" w:lineRule="auto"/>
      </w:pPr>
      <w:r>
        <w:t>---</w:t>
      </w:r>
    </w:p>
    <w:p>
      <w:pPr>
        <w:pStyle w:val="Heading2"/>
        <w:spacing w:before="280" w:after="80"/>
      </w:pPr>
      <w:r>
        <w:rPr>
          <w:rFonts w:ascii="Calibri" w:hAnsi="Calibri"/>
          <w:b/>
          <w:color w:val="172B4D"/>
        </w:rPr>
        <w:t>5. Document Metadata &amp; Approval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Stakeholder Name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Organization / Title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Project Sponsor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David Sterling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VP of Enterprise IT Infrastructure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*[Signed electronically]*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2026-09-30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IT Procurement Lead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Marcus Vance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Lead IT Procurement Specialist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*[Signed electronically]*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2026-09-30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Solution Architect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Elena Rostova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Certified ServiceNow Master Architect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*[Signed electronically]*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2026-09-30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Lead QA Engineer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Sarah Jenkins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Lead Platform Test Engineer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*[Signed electronically]*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2026-09-30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Hardware Fulfillment Lead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Robert Chen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IT Depot &amp; Logistics Manager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*[Signed electronically]*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  <w:shd w:fill="F9FAFC"/>
          </w:tcPr>
          <w:p>
            <w:pPr>
              <w:spacing w:before="40" w:after="40"/>
            </w:pPr>
            <w:r>
              <w:rPr>
                <w:sz w:val="19"/>
              </w:rPr>
              <w:t>2026-09-30</w:t>
            </w:r>
          </w:p>
        </w:tc>
      </w:tr>
      <w:tr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Deliverables Lead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worker_phase4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Phase 4 Project Planning Lead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*[Signed electronically]*</w:t>
            </w:r>
          </w:p>
        </w:tc>
        <w:tc>
          <w:tcPr>
            <w:tcW w:type="dxa" w:w="198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sz w:val="19"/>
              </w:rPr>
              <w:t>2026-09-30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