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Final Project Report</w:t>
      </w:r>
    </w:p>
    <w:p>
      <w:pPr>
        <w:pStyle w:val="Heading2"/>
        <w:spacing w:before="280" w:after="80"/>
      </w:pPr>
      <w:r>
        <w:rPr>
          <w:rFonts w:ascii="Calibri" w:hAnsi="Calibri"/>
          <w:b/>
          <w:color w:val="172B4D"/>
        </w:rPr>
        <w:t>Streamlining IT Procurement: Automating Standard Laptop Orders with Flow Designer</w:t>
      </w:r>
    </w:p>
    <w:p>
      <w:pPr>
        <w:spacing w:after="120" w:line="276" w:lineRule="auto"/>
      </w:pPr>
      <w:r>
        <w:t>---</w:t>
      </w:r>
    </w:p>
    <w:p>
      <w:pPr>
        <w:pStyle w:val="Heading3"/>
        <w:spacing w:before="200" w:after="60"/>
      </w:pPr>
      <w:r>
        <w:rPr>
          <w:rFonts w:ascii="Calibri" w:hAnsi="Calibri"/>
          <w:b/>
          <w:color w:val="344563"/>
        </w:rPr>
        <w:t>Executive Report Metadata</w:t>
      </w:r>
    </w:p>
    <w:p>
      <w:pPr>
        <w:pStyle w:val="ListBullet"/>
        <w:spacing w:after="40"/>
      </w:pPr>
      <w:r>
        <w:rPr>
          <w:b/>
        </w:rPr>
        <w:t>Project Title</w:t>
      </w:r>
      <w:r>
        <w:t>: Streamlining IT Procurement: Automating Standard Laptop Orders with Flow Designer</w:t>
      </w:r>
    </w:p>
    <w:p>
      <w:pPr>
        <w:pStyle w:val="ListBullet"/>
        <w:spacing w:after="40"/>
      </w:pPr>
      <w:r>
        <w:rPr>
          <w:b/>
        </w:rPr>
        <w:t>Program Identifier</w:t>
      </w:r>
      <w:r>
        <w:t>: PRJ-ITSM-2026-AUTO-06</w:t>
      </w:r>
    </w:p>
    <w:p>
      <w:pPr>
        <w:pStyle w:val="ListBullet"/>
        <w:spacing w:after="40"/>
      </w:pPr>
      <w:r>
        <w:rPr>
          <w:b/>
        </w:rPr>
        <w:t>Sponsoring Organization</w:t>
      </w:r>
      <w:r>
        <w:t>: Global Enterprise IT Infrastructure &amp; Operations</w:t>
      </w:r>
    </w:p>
    <w:p>
      <w:pPr>
        <w:pStyle w:val="ListBullet"/>
        <w:spacing w:after="40"/>
      </w:pPr>
      <w:r>
        <w:rPr>
          <w:b/>
        </w:rPr>
        <w:t>Target Platform</w:t>
      </w:r>
      <w:r>
        <w:t>: ServiceNow Washington DC / Vancouver Enterprise Cloud</w:t>
      </w:r>
    </w:p>
    <w:p>
      <w:pPr>
        <w:pStyle w:val="ListBullet"/>
        <w:spacing w:after="40"/>
      </w:pPr>
      <w:r>
        <w:rPr>
          <w:b/>
        </w:rPr>
        <w:t>Document Classification</w:t>
      </w:r>
      <w:r>
        <w:t>: Enterprise Executive Report &amp; Project Closeout Baseline</w:t>
      </w:r>
    </w:p>
    <w:p>
      <w:pPr>
        <w:pStyle w:val="ListBullet"/>
        <w:spacing w:after="40"/>
      </w:pPr>
      <w:r>
        <w:rPr>
          <w:b/>
        </w:rPr>
        <w:t>Date of Publication</w:t>
      </w:r>
      <w:r>
        <w:t>: 2026-09-30</w:t>
      </w:r>
    </w:p>
    <w:p>
      <w:pPr>
        <w:pStyle w:val="ListBullet"/>
        <w:spacing w:after="40"/>
      </w:pPr>
      <w:r>
        <w:rPr>
          <w:b/>
        </w:rPr>
        <w:t>Project Lead</w:t>
      </w:r>
      <w:r>
        <w:t>: Phase 6 Project Documentation &amp; Deliverables Lead</w:t>
      </w:r>
    </w:p>
    <w:p>
      <w:pPr>
        <w:spacing w:after="120" w:line="276" w:lineRule="auto"/>
      </w:pPr>
      <w:r>
        <w:t>---</w:t>
      </w:r>
    </w:p>
    <w:p>
      <w:pPr>
        <w:pStyle w:val="Heading2"/>
        <w:spacing w:before="280" w:after="80"/>
      </w:pPr>
      <w:r>
        <w:rPr>
          <w:rFonts w:ascii="Calibri" w:hAnsi="Calibri"/>
          <w:b/>
          <w:color w:val="172B4D"/>
        </w:rPr>
        <w:t>1. Executive Summary &amp; Business Impact</w:t>
      </w:r>
    </w:p>
    <w:p>
      <w:pPr>
        <w:pStyle w:val="Heading3"/>
        <w:spacing w:before="200" w:after="60"/>
      </w:pPr>
      <w:r>
        <w:rPr>
          <w:rFonts w:ascii="Calibri" w:hAnsi="Calibri"/>
          <w:b/>
          <w:color w:val="344563"/>
        </w:rPr>
        <w:t>1.1 Executive Synthesis</w:t>
      </w:r>
    </w:p>
    <w:p>
      <w:pPr>
        <w:spacing w:after="120" w:line="276" w:lineRule="auto"/>
      </w:pPr>
      <w:r>
        <w:t xml:space="preserve">The </w:t>
      </w:r>
      <w:r>
        <w:rPr>
          <w:b/>
        </w:rPr>
        <w:t>Automated Standard Laptop Procurement Project</w:t>
      </w:r>
      <w:r>
        <w:t xml:space="preserve"> has successfully redesigned, modernized, and automated the enterprise end-to-end hardware procurement lifecycle. By retiring fragmented, email-driven requisition methods in favor of a centralized, event-driven ServiceNow Flow Designer architecture, the organization has achieved transformative improvements in operational efficiency, governance, and end-user satisfaction.</w:t>
      </w:r>
    </w:p>
    <w:p>
      <w:pPr>
        <w:spacing w:after="120" w:line="276" w:lineRule="auto"/>
      </w:pPr>
      <w:r>
        <w:t xml:space="preserve">Prior to this initiative, provisioning a standard corporate laptop required an unsustainable average of </w:t>
      </w:r>
      <w:r>
        <w:rPr>
          <w:b/>
        </w:rPr>
        <w:t>14.2 business days</w:t>
      </w:r>
      <w:r>
        <w:t xml:space="preserve">, burdened IT specialists with </w:t>
      </w:r>
      <w:r>
        <w:rPr>
          <w:b/>
        </w:rPr>
        <w:t>4.5 hours of manual administration per order (totaling 42 hours weekly per specialist)</w:t>
      </w:r>
      <w:r>
        <w:t xml:space="preserve">, suffered from an </w:t>
      </w:r>
      <w:r>
        <w:rPr>
          <w:b/>
        </w:rPr>
        <w:t>18% specification error rate</w:t>
      </w:r>
      <w:r>
        <w:t xml:space="preserve">, and provided only </w:t>
      </w:r>
      <w:r>
        <w:rPr>
          <w:b/>
        </w:rPr>
        <w:t>35% order status visibility</w:t>
      </w:r>
      <w:r>
        <w:t>.</w:t>
      </w:r>
    </w:p>
    <w:p>
      <w:pPr>
        <w:spacing w:after="120" w:line="276" w:lineRule="auto"/>
      </w:pPr>
      <w:r>
        <w:t>Through this enterprise automation release:</w:t>
      </w:r>
    </w:p>
    <w:p>
      <w:pPr>
        <w:pStyle w:val="ListBullet"/>
        <w:spacing w:after="40"/>
      </w:pPr>
      <w:r>
        <w:rPr>
          <w:b/>
        </w:rPr>
        <w:t>Cycle time has dropped to 2.4 business days</w:t>
      </w:r>
      <w:r>
        <w:t xml:space="preserve">, representing an </w:t>
      </w:r>
      <w:r>
        <w:rPr>
          <w:b/>
        </w:rPr>
        <w:t>83.1% velocity acceleration</w:t>
      </w:r>
      <w:r>
        <w:t>.</w:t>
      </w:r>
    </w:p>
    <w:p>
      <w:pPr>
        <w:pStyle w:val="ListBullet"/>
        <w:spacing w:after="40"/>
      </w:pPr>
      <w:r>
        <w:rPr>
          <w:b/>
        </w:rPr>
        <w:t>Manual processing effort plummeted to 0.35 hours per order</w:t>
      </w:r>
      <w:r>
        <w:t xml:space="preserve">, reducing total weekly specialist effort from </w:t>
      </w:r>
      <w:r>
        <w:rPr>
          <w:b/>
        </w:rPr>
        <w:t>42 hours to 3.3 hours</w:t>
      </w:r>
      <w:r>
        <w:t xml:space="preserve"> (a </w:t>
      </w:r>
      <w:r>
        <w:rPr>
          <w:b/>
        </w:rPr>
        <w:t>92.2% labor reduction</w:t>
      </w:r>
      <w:r>
        <w:t>).</w:t>
      </w:r>
    </w:p>
    <w:p>
      <w:pPr>
        <w:pStyle w:val="ListBullet"/>
        <w:spacing w:after="40"/>
      </w:pPr>
      <w:r>
        <w:rPr>
          <w:b/>
        </w:rPr>
        <w:t>Order tracking visibility reached 100%</w:t>
      </w:r>
      <w:r>
        <w:t>, providing transparent, self-service order tracking on the Employee Center.</w:t>
      </w:r>
    </w:p>
    <w:p>
      <w:pPr>
        <w:pStyle w:val="ListBullet"/>
        <w:spacing w:after="40"/>
      </w:pPr>
      <w:r>
        <w:rPr>
          <w:b/>
        </w:rPr>
        <w:t>Order error rates dropped to 0.4%</w:t>
      </w:r>
      <w:r>
        <w:t>, virtually eliminating costly order re-work and vendor restocking fees.</w:t>
      </w:r>
    </w:p>
    <w:p>
      <w:pPr>
        <w:pStyle w:val="ListBullet"/>
        <w:spacing w:after="40"/>
      </w:pPr>
      <w:r>
        <w:rPr>
          <w:b/>
        </w:rPr>
        <w:t>Financial performance exceeded all targets</w:t>
      </w:r>
      <w:r>
        <w:t xml:space="preserve">: Yielding an annual efficiency savings of </w:t>
      </w:r>
      <w:r>
        <w:rPr>
          <w:b/>
        </w:rPr>
        <w:t>$438,240</w:t>
      </w:r>
      <w:r>
        <w:t xml:space="preserve">, a 3-year cumulative net cash flow of </w:t>
      </w:r>
      <w:r>
        <w:rPr>
          <w:b/>
        </w:rPr>
        <w:t>$1,534,617</w:t>
      </w:r>
      <w:r>
        <w:t>, a Net Present Value (</w:t>
      </w:r>
      <w:r>
        <w:rPr>
          <w:b/>
        </w:rPr>
        <w:t>NPV</w:t>
      </w:r>
      <w:r>
        <w:t xml:space="preserve">) of </w:t>
      </w:r>
      <w:r>
        <w:rPr>
          <w:b/>
        </w:rPr>
        <w:t>$1,273,450</w:t>
      </w:r>
      <w:r>
        <w:t xml:space="preserve"> (at an 8% discount rate), an Internal Rate of Return (</w:t>
      </w:r>
      <w:r>
        <w:rPr>
          <w:b/>
        </w:rPr>
        <w:t>IRR</w:t>
      </w:r>
      <w:r>
        <w:t xml:space="preserve">) of </w:t>
      </w:r>
      <w:r>
        <w:rPr>
          <w:b/>
        </w:rPr>
        <w:t>462%</w:t>
      </w:r>
      <w:r>
        <w:t xml:space="preserve">, and an accelerated payback period of just </w:t>
      </w:r>
      <w:r>
        <w:rPr>
          <w:b/>
        </w:rPr>
        <w:t>2.6 months</w:t>
      </w:r>
      <w:r>
        <w: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EXECUTIVE SCORECARD AT A GLANCE                                 |</w:t>
              <w:br/>
              <w:t>+--------------------------------------+--------------------+-------------------+--------------------+</w:t>
              <w:br/>
              <w:t>| Core Metric                          | Baseline (Legacy)  | Delivered (Flow)  | Measured Variance  |</w:t>
              <w:br/>
              <w:t>+--------------------------------------+--------------------+-------------------+--------------------+</w:t>
              <w:br/>
              <w:t>| End-to-End Fulfillment Cycle Time    | 14.2 Days          | 2.4 Days          | -83.1% (FTE Gain)  |</w:t>
              <w:br/>
              <w:t>| Specialist Manual Processing Effort  | 42.0 Hours/Week    | 3.3 Hours/Week    | -92.2% Effort Saved|</w:t>
              <w:br/>
              <w:t>| Order Status &amp; Logistics Visibility  | 35.0% Trackable    | 100.0% Real-Time  | +65.0% Visibility  |</w:t>
              <w:br/>
              <w:t>| Requisition Specification Error Rate | 18.0% Defective    | 0.4% Defective    | -97.8% Error Drop  |</w:t>
              <w:br/>
              <w:t>| Customer Satisfaction (CSAT)         | 61.2% Favorable    | 94.6% Favorable   | +33.4 Points Gain  |</w:t>
              <w:br/>
              <w:t>| Net Present Value (NPV @ 8%)         | N/A                | $1,273,450 USD    | Exceeded Forecast  |</w:t>
              <w:br/>
              <w:t>| Internal Rate of Return (IRR)        | N/A                | 462%              | Exceptional Return |</w:t>
              <w:br/>
              <w:t>| Capital Payback Period               | N/A                | 2.6 Months        | Q1 Post-Go-Live    |</w:t>
              <w:br/>
              <w:t>+--------------------------------------+--------------------+-------------------+--------------------+</w:t>
            </w:r>
          </w:p>
        </w:tc>
      </w:tr>
    </w:tbl>
    <w:p>
      <w:pPr>
        <w:spacing w:after="80"/>
      </w:pPr>
    </w:p>
    <w:p>
      <w:pPr>
        <w:spacing w:after="120" w:line="276" w:lineRule="auto"/>
      </w:pPr>
      <w:r>
        <w:t>---</w:t>
      </w:r>
    </w:p>
    <w:p>
      <w:pPr>
        <w:pStyle w:val="Heading2"/>
        <w:spacing w:before="280" w:after="80"/>
      </w:pPr>
      <w:r>
        <w:rPr>
          <w:rFonts w:ascii="Calibri" w:hAnsi="Calibri"/>
          <w:b/>
          <w:color w:val="172B4D"/>
        </w:rPr>
        <w:t>2. Project Background, Problem Statement &amp; Objectives</w:t>
      </w:r>
    </w:p>
    <w:p>
      <w:pPr>
        <w:pStyle w:val="Heading3"/>
        <w:spacing w:before="200" w:after="60"/>
      </w:pPr>
      <w:r>
        <w:rPr>
          <w:rFonts w:ascii="Calibri" w:hAnsi="Calibri"/>
          <w:b/>
          <w:color w:val="344563"/>
        </w:rPr>
        <w:t>2.1 Historical Operating Context &amp; Root Cause Analysis</w:t>
      </w:r>
    </w:p>
    <w:p>
      <w:pPr>
        <w:spacing w:after="120" w:line="276" w:lineRule="auto"/>
      </w:pPr>
      <w:r>
        <w:t>As the enterprise scaled to over 12,000 global knowledge workers across corporate campuses and remote locations, the IT hardware procurement process remained anchored in decentralized legacy practices. Over 2,400 standard laptops are requisitioned annually across new employee onboarding, scheduled hardware lifecycle refreshes, and break-fix replacements.</w:t>
      </w:r>
    </w:p>
    <w:p>
      <w:pPr>
        <w:spacing w:after="120" w:line="276" w:lineRule="auto"/>
      </w:pPr>
      <w:r>
        <w:t>The manual operating baseline suffered from four major systemic failure vectors:</w:t>
      </w:r>
    </w:p>
    <w:p>
      <w:pPr>
        <w:pStyle w:val="ListNumber"/>
        <w:spacing w:after="40"/>
      </w:pPr>
      <w:r>
        <w:rPr>
          <w:b/>
        </w:rPr>
        <w:t>Unstructured Communication Channels</w:t>
      </w:r>
      <w:r>
        <w:t>: Requisitions arrived haphazardly via Outlook inboxes, Microsoft Teams chats, and manual service desk incident tickets. Requesters omitted crucial technical specifications (e.g., RAM sizing, screen dimensions, keyboard language profiles, or shipping postal codes), prompting multiple rounds of back-and-forth emails.</w:t>
      </w:r>
    </w:p>
    <w:p>
      <w:pPr>
        <w:pStyle w:val="ListNumber"/>
        <w:spacing w:after="40"/>
      </w:pPr>
      <w:r>
        <w:rPr>
          <w:b/>
        </w:rPr>
        <w:t>Managerial Approval Deadlock</w:t>
      </w:r>
      <w:r>
        <w:t xml:space="preserve">: Requisitions sat idle in managers' inboxes for an average of </w:t>
      </w:r>
      <w:r>
        <w:rPr>
          <w:b/>
        </w:rPr>
        <w:t>78.4 hours (3.3 business days)</w:t>
      </w:r>
      <w:r>
        <w:t>. Managers lacked visibility into departmental budget impact, item pricing, or the employee's existing hardware refresh eligibility.</w:t>
      </w:r>
    </w:p>
    <w:p>
      <w:pPr>
        <w:pStyle w:val="ListNumber"/>
        <w:spacing w:after="40"/>
      </w:pPr>
      <w:r>
        <w:rPr>
          <w:b/>
        </w:rPr>
        <w:t>Disconnected Fulfillment &amp; Manual Imaging</w:t>
      </w:r>
      <w:r>
        <w:t>: Hardware configuration specialists manually staged devices from unverified stockroom inventory, manually keyed in serial numbers into spreadsheets, and manually dispatched physical packages without systematic carrier tracking synchronization.</w:t>
      </w:r>
    </w:p>
    <w:p>
      <w:pPr>
        <w:pStyle w:val="ListNumber"/>
        <w:spacing w:after="40"/>
      </w:pPr>
      <w:r>
        <w:rPr>
          <w:b/>
        </w:rPr>
        <w:t>Data Desynchronization with ITAM CMDB</w:t>
      </w:r>
      <w:r>
        <w:t xml:space="preserve">: Physical assets were frequently delivered weeks before their status in </w:t>
      </w:r>
      <w:r>
        <w:rPr>
          <w:rFonts w:ascii="Consolas" w:hAnsi="Consolas"/>
          <w:color w:val="802020"/>
          <w:sz w:val="19"/>
        </w:rPr>
        <w:t>alm_hardware</w:t>
      </w:r>
      <w:r>
        <w:t xml:space="preserve"> was manually updated from </w:t>
      </w:r>
      <w:r>
        <w:rPr>
          <w:i/>
        </w:rPr>
        <w:t>In Stock</w:t>
      </w:r>
      <w:r>
        <w:t xml:space="preserve"> to </w:t>
      </w:r>
      <w:r>
        <w:rPr>
          <w:i/>
        </w:rPr>
        <w:t>In Use</w:t>
      </w:r>
      <w:r>
        <w:t>. Consequently, 28% of deployed hardware assets had incomplete ownership records, generating severe compliance findings during external IT asset audits.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flowchart LR</w:t>
              <w:br/>
              <w:t xml:space="preserve">    subgraph PainPoints["Legacy Procurement Bottlenecks"]</w:t>
              <w:br/>
              <w:t xml:space="preserve">        P1["Unstructured Emails&lt;br/&gt;18% Spec Errors"] --&gt; P2["Managerial Inaction&lt;br/&gt;78.4h Approval Lag"]</w:t>
              <w:br/>
              <w:t xml:space="preserve">        P2 --&gt; P3["Manual Fulfillment&lt;br/&gt;42 hrs/wk Admin Touch"]</w:t>
              <w:br/>
              <w:t xml:space="preserve">        P3 --&gt; P4["Untracked Shipments&lt;br/&gt;35% Order Visibility"]</w:t>
              <w:br/>
              <w:t xml:space="preserve">        P4 --&gt; P5["Desynchronized CMDB&lt;br/&gt;28% Audit Deficiency"]</w:t>
              <w:br/>
              <w:t xml:space="preserve">    end</w:t>
              <w:br/>
              <w:t xml:space="preserve">    classDef red fill:#ffebee,stroke:#c62828,stroke-width:1px,color:#b71c1c;</w:t>
              <w:br/>
              <w:t xml:space="preserve">    class P1,P2,P3,P4,P5 red;</w:t>
            </w:r>
          </w:p>
        </w:tc>
      </w:tr>
    </w:tbl>
    <w:p>
      <w:pPr>
        <w:spacing w:after="80"/>
      </w:pPr>
    </w:p>
    <w:p>
      <w:pPr>
        <w:pStyle w:val="Heading3"/>
        <w:spacing w:before="200" w:after="60"/>
      </w:pPr>
      <w:r>
        <w:rPr>
          <w:rFonts w:ascii="Calibri" w:hAnsi="Calibri"/>
          <w:b/>
          <w:color w:val="344563"/>
        </w:rPr>
        <w:t>2.2 Formal Project Objectives &amp; Success Criteria</w:t>
      </w:r>
    </w:p>
    <w:p>
      <w:pPr>
        <w:spacing w:after="120" w:line="276" w:lineRule="auto"/>
      </w:pPr>
      <w:r>
        <w:t>The project charter established clear, measurable targets to validate operational success:</w:t>
      </w:r>
    </w:p>
    <w:p>
      <w:pPr>
        <w:pStyle w:val="ListBullet"/>
        <w:spacing w:after="40"/>
      </w:pPr>
      <w:r>
        <w:rPr>
          <w:b/>
        </w:rPr>
        <w:t>Objective 1 (Fulfillment Velocity)</w:t>
      </w:r>
      <w:r>
        <w:t>: Compress end-to-end elapsed turnaround time from 14.2 days to under 3.0 business days.</w:t>
      </w:r>
    </w:p>
    <w:p>
      <w:pPr>
        <w:pStyle w:val="ListBullet"/>
        <w:spacing w:after="40"/>
      </w:pPr>
      <w:r>
        <w:rPr>
          <w:b/>
        </w:rPr>
        <w:t>Objective 2 (Labor Optimization)</w:t>
      </w:r>
      <w:r>
        <w:t>: Automate routine clerical tasks, reducing IT staff manual touch time per order from 4.5 hours to under 30 minutes, freeing up ~38.7 hours per week per specialist for strategic IT initiatives.</w:t>
      </w:r>
    </w:p>
    <w:p>
      <w:pPr>
        <w:pStyle w:val="ListBullet"/>
        <w:spacing w:after="40"/>
      </w:pPr>
      <w:r>
        <w:rPr>
          <w:b/>
        </w:rPr>
        <w:t>Objective 3 (Data Integrity &amp; Quality)</w:t>
      </w:r>
      <w:r>
        <w:t>: Drive order specification errors below 1.0% through strict front-end Service Portal form validation, dynamic profile lookups, and automated regex postal checks.</w:t>
      </w:r>
    </w:p>
    <w:p>
      <w:pPr>
        <w:pStyle w:val="ListBullet"/>
        <w:spacing w:after="40"/>
      </w:pPr>
      <w:r>
        <w:rPr>
          <w:b/>
        </w:rPr>
        <w:t>Objective 4 (Transparency &amp; Experience)</w:t>
      </w:r>
      <w:r>
        <w:t>: Elevate order tracking visibility from 35% to 100%, deflecting status inquiry tickets and lifting employee CSAT from 61.2% to &gt; 90%.</w:t>
      </w:r>
    </w:p>
    <w:p>
      <w:pPr>
        <w:pStyle w:val="ListBullet"/>
        <w:spacing w:after="40"/>
      </w:pPr>
      <w:r>
        <w:rPr>
          <w:b/>
        </w:rPr>
        <w:t>Objective 5 (Fiscal Return)</w:t>
      </w:r>
      <w:r>
        <w:t>: Achieve full capital payback within 6 months and deliver a 3-year NPV greater than $1,000,000 USD.</w:t>
      </w:r>
    </w:p>
    <w:p>
      <w:pPr>
        <w:spacing w:after="120" w:line="276" w:lineRule="auto"/>
      </w:pPr>
      <w:r>
        <w:t>---</w:t>
      </w:r>
    </w:p>
    <w:p>
      <w:pPr>
        <w:pStyle w:val="Heading2"/>
        <w:spacing w:before="280" w:after="80"/>
      </w:pPr>
      <w:r>
        <w:rPr>
          <w:rFonts w:ascii="Calibri" w:hAnsi="Calibri"/>
          <w:b/>
          <w:color w:val="172B4D"/>
        </w:rPr>
        <w:t>3. Solution Overview &amp; Technical Architecture</w:t>
      </w:r>
    </w:p>
    <w:p>
      <w:pPr>
        <w:pStyle w:val="Heading3"/>
        <w:spacing w:before="200" w:after="60"/>
      </w:pPr>
      <w:r>
        <w:rPr>
          <w:rFonts w:ascii="Calibri" w:hAnsi="Calibri"/>
          <w:b/>
          <w:color w:val="344563"/>
        </w:rPr>
        <w:t>3.1 Solution Architecture Overview</w:t>
      </w:r>
    </w:p>
    <w:p>
      <w:pPr>
        <w:spacing w:after="120" w:line="276" w:lineRule="auto"/>
      </w:pPr>
      <w:r>
        <w:t>The implemented solution is an event-driven, four-tier architecture operating natively within the ServiceNow enterprise platform:</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graph TD</w:t>
              <w:br/>
              <w:t xml:space="preserve">    subgraph Tier1["1. Presentation Tier (Employee Center &amp; Mobile)"]</w:t>
              <w:br/>
              <w:t xml:space="preserve">        UI1["Catalog Item: Standard Business Laptop Request"]</w:t>
              <w:br/>
              <w:t xml:space="preserve">        UI2["Catalog UI Policies (3 Declarative Policies)"]</w:t>
              <w:br/>
              <w:t xml:space="preserve">        UI3["Catalog Client Scripts (3 ES6 Scripts)"]</w:t>
              <w:br/>
              <w:t xml:space="preserve">    end</w:t>
              <w:br/>
              <w:br/>
              <w:t xml:space="preserve">    subgraph Tier2["2. Workflow &amp; Orchestration Tier (Flow Designer)"]</w:t>
              <w:br/>
              <w:t xml:space="preserve">        FD1["Trigger Instance: sc_req_item Created"]</w:t>
              <w:br/>
              <w:t xml:space="preserve">        FD2["VIP Auto-Approval Decision Engine"]</w:t>
              <w:br/>
              <w:t xml:space="preserve">        FD3["Manager Approval Subsystem (sysapproval)"]</w:t>
              <w:br/>
              <w:t xml:space="preserve">        FD4["Inventory Verification Subflow"]</w:t>
              <w:br/>
              <w:t xml:space="preserve">        FD5["Automated SCTASK Sequential Generator"]</w:t>
              <w:br/>
              <w:t xml:space="preserve">        FD6["Flow Designer Error Catch Handler"]</w:t>
              <w:br/>
              <w:t xml:space="preserve">    end</w:t>
              <w:br/>
              <w:br/>
              <w:t xml:space="preserve">    subgraph Tier3["3. Data &amp; Persistence Tier (ITSM &amp; ITAM)"]</w:t>
              <w:br/>
              <w:t xml:space="preserve">        DB1["sc_request (Container REQ)"]</w:t>
              <w:br/>
              <w:t xml:space="preserve">        DB2["sc_req_item (Requested Item RITM)"]</w:t>
              <w:br/>
              <w:t xml:space="preserve">        DB3["sc_task (Catalog Tasks: Imaging &amp; Logistics)"]</w:t>
              <w:br/>
              <w:t xml:space="preserve">        DB4["alm_hardware (Asset CMDB Inventory)"]</w:t>
              <w:br/>
              <w:t xml:space="preserve">        DB5["sys_user / cmn_department"]</w:t>
              <w:br/>
              <w:t xml:space="preserve">    end</w:t>
              <w:br/>
              <w:br/>
              <w:t xml:space="preserve">    subgraph Tier4["4. Integration &amp; Notification Tier"]</w:t>
              <w:br/>
              <w:t xml:space="preserve">        INT1["SMTP / Inbound Email Approval Engine"]</w:t>
              <w:br/>
              <w:t xml:space="preserve">        INT2["Automated Incident Triage (INC0019281)"]</w:t>
              <w:br/>
              <w:t xml:space="preserve">        INT3["ServiceNow SLA Engine (24h VIP / 72h Standard)"]</w:t>
              <w:br/>
              <w:t xml:space="preserve">        INT4["Platform Audit Engine (sys_audit)"]</w:t>
              <w:br/>
              <w:t xml:space="preserve">    end</w:t>
              <w:br/>
              <w:br/>
              <w:t xml:space="preserve">    UI1 --&gt; FD1</w:t>
              <w:br/>
              <w:t xml:space="preserve">    UI2 --&gt; UI1</w:t>
              <w:br/>
              <w:t xml:space="preserve">    UI3 --&gt; UI1</w:t>
              <w:br/>
              <w:t xml:space="preserve">    FD1 --&gt; FD2</w:t>
              <w:br/>
              <w:t xml:space="preserve">    FD2 --&gt; FD3</w:t>
              <w:br/>
              <w:t xml:space="preserve">    FD3 --&gt; FD4</w:t>
              <w:br/>
              <w:t xml:space="preserve">    FD4 --&gt; FD5</w:t>
              <w:br/>
              <w:t xml:space="preserve">    FD5 --&gt; DB3</w:t>
              <w:br/>
              <w:t xml:space="preserve">    FD1 --&gt; DB2</w:t>
              <w:br/>
              <w:t xml:space="preserve">    DB2 --&gt; DB1</w:t>
              <w:br/>
              <w:t xml:space="preserve">    FD4 --&gt; DB4</w:t>
              <w:br/>
              <w:t xml:space="preserve">    FD5 --&gt; DB4</w:t>
              <w:br/>
              <w:t xml:space="preserve">    FD6 --&gt; INT2</w:t>
              <w:br/>
              <w:t xml:space="preserve">    FD3 --&gt; INT1</w:t>
              <w:br/>
              <w:t xml:space="preserve">    FD5 --&gt; INT3</w:t>
            </w:r>
          </w:p>
        </w:tc>
      </w:tr>
    </w:tbl>
    <w:p>
      <w:pPr>
        <w:spacing w:after="80"/>
      </w:pPr>
    </w:p>
    <w:p>
      <w:pPr>
        <w:pStyle w:val="Heading3"/>
        <w:spacing w:before="200" w:after="60"/>
      </w:pPr>
      <w:r>
        <w:rPr>
          <w:rFonts w:ascii="Calibri" w:hAnsi="Calibri"/>
          <w:b/>
          <w:color w:val="344563"/>
        </w:rPr>
        <w:t>3.2 Technical Component Inventory</w:t>
      </w:r>
    </w:p>
    <w:p>
      <w:pPr>
        <w:pStyle w:val="ListBullet"/>
        <w:spacing w:after="40"/>
      </w:pPr>
      <w:r>
        <w:rPr>
          <w:b/>
        </w:rPr>
        <w:t>Service Catalog Master Item (`sc_cat_item`)</w:t>
      </w:r>
      <w:r>
        <w:t xml:space="preserve">: Sys ID </w:t>
      </w:r>
      <w:r>
        <w:rPr>
          <w:rFonts w:ascii="Consolas" w:hAnsi="Consolas"/>
          <w:color w:val="802020"/>
          <w:sz w:val="19"/>
        </w:rPr>
        <w:t>0b36816197113110a24734000153af45</w:t>
      </w:r>
      <w:r>
        <w:t>. Features 14 variables organized into 3 responsive containers: Requester Information, Hardware Configuration, and Logistics/Peripherals.</w:t>
      </w:r>
    </w:p>
    <w:p>
      <w:pPr>
        <w:pStyle w:val="ListBullet"/>
        <w:spacing w:after="40"/>
      </w:pPr>
      <w:r>
        <w:rPr>
          <w:b/>
        </w:rPr>
        <w:t>Catalog UI Policies (`sys_ui_policy`)</w:t>
      </w:r>
      <w:r>
        <w:t>:</w:t>
      </w:r>
    </w:p>
    <w:p>
      <w:pPr>
        <w:pStyle w:val="ListNumber"/>
        <w:spacing w:after="40"/>
      </w:pPr>
      <w:r>
        <w:rPr>
          <w:i/>
        </w:rPr>
        <w:t>Remote Shipping Enforcement</w:t>
      </w:r>
      <w:r>
        <w:t>: Dynamically displays and mandates physical street address and postal code upon selecting remote shipment.</w:t>
      </w:r>
    </w:p>
    <w:p>
      <w:pPr>
        <w:pStyle w:val="ListNumber"/>
        <w:spacing w:after="40"/>
      </w:pPr>
      <w:r>
        <w:rPr>
          <w:i/>
        </w:rPr>
        <w:t>Executive &amp; Damaged Justification</w:t>
      </w:r>
      <w:r>
        <w:t>: Enforces business justification narrative for high-tier hardware or out-of-cycle replacement.</w:t>
      </w:r>
    </w:p>
    <w:p>
      <w:pPr>
        <w:pStyle w:val="ListNumber"/>
        <w:spacing w:after="40"/>
      </w:pPr>
      <w:r>
        <w:rPr>
          <w:i/>
        </w:rPr>
        <w:t>Asset Tag Validation</w:t>
      </w:r>
      <w:r>
        <w:t>: Mandates existing asset tag entry for refresh and replacement requests.</w:t>
      </w:r>
    </w:p>
    <w:p>
      <w:pPr>
        <w:pStyle w:val="ListBullet"/>
        <w:spacing w:after="40"/>
      </w:pPr>
      <w:r>
        <w:rPr>
          <w:b/>
        </w:rPr>
        <w:t>Catalog Client Scripts (`catalog_script_client`)</w:t>
      </w:r>
      <w:r>
        <w:t>:</w:t>
      </w:r>
    </w:p>
    <w:p>
      <w:pPr>
        <w:pStyle w:val="ListNumber"/>
        <w:spacing w:after="40"/>
      </w:pPr>
      <w:r>
        <w:rPr>
          <w:i/>
        </w:rPr>
        <w:t>Auto-Populate Profile</w:t>
      </w:r>
      <w:r>
        <w:t xml:space="preserve">: Asynchronously fetches employee department, manager, title, and VIP status via </w:t>
      </w:r>
      <w:r>
        <w:rPr>
          <w:rFonts w:ascii="Consolas" w:hAnsi="Consolas"/>
          <w:color w:val="802020"/>
          <w:sz w:val="19"/>
        </w:rPr>
        <w:t>g_form.getReference</w:t>
      </w:r>
      <w:r>
        <w:t>.</w:t>
      </w:r>
    </w:p>
    <w:p>
      <w:pPr>
        <w:pStyle w:val="ListNumber"/>
        <w:spacing w:after="40"/>
      </w:pPr>
      <w:r>
        <w:rPr>
          <w:i/>
        </w:rPr>
        <w:t>Dynamic Model Filter</w:t>
      </w:r>
      <w:r>
        <w:t>: Restricts hardware choices based on tier (Enterprise Standard, Engineering Dev, Executive Ultra-Light).</w:t>
      </w:r>
    </w:p>
    <w:p>
      <w:pPr>
        <w:pStyle w:val="ListNumber"/>
        <w:spacing w:after="40"/>
      </w:pPr>
      <w:r>
        <w:rPr>
          <w:i/>
        </w:rPr>
        <w:t>Postal Regex Validator</w:t>
      </w:r>
      <w:r>
        <w:t>: Validates shipping address and postal code integrity before form submission.</w:t>
      </w:r>
    </w:p>
    <w:p>
      <w:pPr>
        <w:pStyle w:val="ListBullet"/>
        <w:spacing w:after="40"/>
      </w:pPr>
      <w:r>
        <w:rPr>
          <w:b/>
        </w:rPr>
        <w:t>Flow Designer Master Flow (`sys_hub_flow`)</w:t>
      </w:r>
      <w:r>
        <w:t xml:space="preserve">: Sys ID </w:t>
      </w:r>
      <w:r>
        <w:rPr>
          <w:rFonts w:ascii="Consolas" w:hAnsi="Consolas"/>
          <w:color w:val="802020"/>
          <w:sz w:val="19"/>
        </w:rPr>
        <w:t>7e36816197113110a24734000153af22</w:t>
      </w:r>
      <w:r>
        <w:t>. 17 discrete action steps executing in system context, incorporating decision routing, approval engine, sequential catalog tasks, and email dispatches.</w:t>
      </w:r>
    </w:p>
    <w:p>
      <w:pPr>
        <w:pStyle w:val="ListBullet"/>
        <w:spacing w:after="40"/>
      </w:pPr>
      <w:r>
        <w:rPr>
          <w:b/>
        </w:rPr>
        <w:t>Inventory Subflow (`subflow_check_hardware_inventory`)</w:t>
      </w:r>
      <w:r>
        <w:t xml:space="preserve">: Evaluates </w:t>
      </w:r>
      <w:r>
        <w:rPr>
          <w:rFonts w:ascii="Consolas" w:hAnsi="Consolas"/>
          <w:color w:val="802020"/>
          <w:sz w:val="19"/>
        </w:rPr>
        <w:t>alm_hardware</w:t>
      </w:r>
      <w:r>
        <w:t xml:space="preserve"> for stock status (</w:t>
      </w:r>
      <w:r>
        <w:rPr>
          <w:rFonts w:ascii="Consolas" w:hAnsi="Consolas"/>
          <w:color w:val="802020"/>
          <w:sz w:val="19"/>
        </w:rPr>
        <w:t>install_status=6</w:t>
      </w:r>
      <w:r>
        <w:t xml:space="preserve">, </w:t>
      </w:r>
      <w:r>
        <w:rPr>
          <w:rFonts w:ascii="Consolas" w:hAnsi="Consolas"/>
          <w:color w:val="802020"/>
          <w:sz w:val="19"/>
        </w:rPr>
        <w:t>substatus=available</w:t>
      </w:r>
      <w:r>
        <w:t>), auto-reserves asset records, and passes asset tag/serial numbers into flow data pills.</w:t>
      </w:r>
    </w:p>
    <w:p>
      <w:pPr>
        <w:pStyle w:val="ListBullet"/>
        <w:spacing w:after="40"/>
      </w:pPr>
      <w:r>
        <w:rPr>
          <w:b/>
        </w:rPr>
        <w:t>Error Handling Catch Block</w:t>
      </w:r>
      <w:r>
        <w:t>: Intercepts runtime errors, marks RITMs on hold, logs system errors, and automatically logs Priority 2 triage incidents with Platform Support.</w:t>
      </w:r>
    </w:p>
    <w:p>
      <w:pPr>
        <w:spacing w:after="120" w:line="276" w:lineRule="auto"/>
      </w:pPr>
      <w:r>
        <w:t>---</w:t>
      </w:r>
    </w:p>
    <w:p>
      <w:pPr>
        <w:pStyle w:val="Heading2"/>
        <w:spacing w:before="280" w:after="80"/>
      </w:pPr>
      <w:r>
        <w:rPr>
          <w:rFonts w:ascii="Calibri" w:hAnsi="Calibri"/>
          <w:b/>
          <w:color w:val="172B4D"/>
        </w:rPr>
        <w:t>4. Implementation Highlights &amp; Milestone Achievements</w:t>
      </w:r>
    </w:p>
    <w:p>
      <w:pPr>
        <w:pStyle w:val="Heading3"/>
        <w:spacing w:before="200" w:after="60"/>
      </w:pPr>
      <w:r>
        <w:rPr>
          <w:rFonts w:ascii="Calibri" w:hAnsi="Calibri"/>
          <w:b/>
          <w:color w:val="344563"/>
        </w:rPr>
        <w:t>4.1 Project Schedule &amp; Milestone Velocity</w:t>
      </w:r>
    </w:p>
    <w:p>
      <w:pPr>
        <w:spacing w:after="120" w:line="276" w:lineRule="auto"/>
      </w:pPr>
      <w:r>
        <w:t>The implementation was executed over a 12-week, 6-sprint delivery lifecycle totaling 150 person-days of engineering, configuration, testing, and documentation effort. The project delivered 100% of planned scope on schedule and within budget.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PROJECT MILESTONE EXECUTION MATRIX                              |</w:t>
              <w:br/>
              <w:t>+-----+--------------------------------------+----------+--------------+------------------+----------+</w:t>
              <w:br/>
              <w:t>| #   | Milestone Phase Name                 | Sprints  | Planned Time | Delivered Date   | Status   |</w:t>
              <w:br/>
              <w:t>+-----+--------------------------------------+----------+--------------+------------------+----------+</w:t>
              <w:br/>
              <w:t>| M1  | Phase 1: Ideation &amp; Empathy Mapping  | Sprint 1 | Weeks 1 - 2  | 2026-07-25       | COMPLETE |</w:t>
              <w:br/>
              <w:t>| M2  | Phase 2: Requirement Analysis &amp; DFD  | Sprint 2 | Weeks 3 - 4  | 2026-08-08       | COMPLETE |</w:t>
              <w:br/>
              <w:t>| M3  | Phase 3: Project Architectural Design| Sprint 3 | Weeks 5 - 6  | 2026-08-22       | COMPLETE |</w:t>
              <w:br/>
              <w:t>| M4  | Phase 4: Planning, WBS &amp; Governance  | Sprint 4 | Weeks 7 - 8  | 2026-09-05       | COMPLETE |</w:t>
              <w:br/>
              <w:t>| M5  | Phase 5: Development &amp; UAT Testing   | Sprint 5 | Weeks 9 - 10 | 2026-09-19       | COMPLETE |</w:t>
              <w:br/>
              <w:t>| M6  | Phase 6: Documentation &amp; Handover    | Sprint 6 | Weeks 11- 12 | 2026-09-30       | COMPLETE |</w:t>
              <w:br/>
              <w:t>+-----+--------------------------------------+----------+--------------+------------------+----------+</w:t>
            </w:r>
          </w:p>
        </w:tc>
      </w:tr>
    </w:tbl>
    <w:p>
      <w:pPr>
        <w:spacing w:after="80"/>
      </w:pPr>
    </w:p>
    <w:p>
      <w:pPr>
        <w:pStyle w:val="Heading3"/>
        <w:spacing w:before="200" w:after="60"/>
      </w:pPr>
      <w:r>
        <w:rPr>
          <w:rFonts w:ascii="Calibri" w:hAnsi="Calibri"/>
          <w:b/>
          <w:color w:val="344563"/>
        </w:rPr>
        <w:t>4.2 Key Engineering Deliverables Achieved</w:t>
      </w:r>
    </w:p>
    <w:p>
      <w:pPr>
        <w:pStyle w:val="ListNumber"/>
        <w:spacing w:after="40"/>
      </w:pPr>
      <w:r>
        <w:rPr>
          <w:b/>
        </w:rPr>
        <w:t>Zero-Code Maintenance Architecture</w:t>
      </w:r>
      <w:r>
        <w:t>: Replaced legacy, opaque scripted workflows with modular Flow Designer actions, enabling business process owners to adjust routing without code deployments.</w:t>
      </w:r>
    </w:p>
    <w:p>
      <w:pPr>
        <w:pStyle w:val="ListNumber"/>
        <w:spacing w:after="40"/>
      </w:pPr>
      <w:r>
        <w:rPr>
          <w:b/>
        </w:rPr>
        <w:t>Production Update Set</w:t>
      </w:r>
      <w:r>
        <w:t>: Generated enterprise update set (</w:t>
      </w:r>
      <w:r>
        <w:rPr>
          <w:rFonts w:ascii="Consolas" w:hAnsi="Consolas"/>
          <w:color w:val="802020"/>
          <w:sz w:val="19"/>
        </w:rPr>
        <w:t>sys_remote_update_set_9a36816197113110a24734000153af10</w:t>
      </w:r>
      <w:r>
        <w:t>) encapsulating all flow definitions, actions, element mappings, and UI policies.</w:t>
      </w:r>
    </w:p>
    <w:p>
      <w:pPr>
        <w:pStyle w:val="ListNumber"/>
        <w:spacing w:after="40"/>
      </w:pPr>
      <w:r>
        <w:rPr>
          <w:b/>
        </w:rPr>
        <w:t>Complete Functional Blueprint</w:t>
      </w:r>
      <w:r>
        <w:t>: Compiled the 12-section Functional Specification Document (</w:t>
      </w:r>
      <w:r>
        <w:rPr>
          <w:rFonts w:ascii="Consolas" w:hAnsi="Consolas"/>
          <w:color w:val="802020"/>
          <w:sz w:val="19"/>
        </w:rPr>
        <w:t>01_functional_specification_document_fsd.md</w:t>
      </w:r>
      <w:r>
        <w:t>) with complete FRTM traceability from FR-01 through FR-12.</w:t>
      </w:r>
    </w:p>
    <w:p>
      <w:pPr>
        <w:pStyle w:val="ListNumber"/>
        <w:spacing w:after="40"/>
      </w:pPr>
      <w:r>
        <w:rPr>
          <w:b/>
        </w:rPr>
        <w:t>Rigorous Verification &amp; Quality Sign-Off</w:t>
      </w:r>
      <w:r>
        <w:t>: Executed 8 complex UAT test scenarios with simulated runtimes, achieving a 100% pass rate with zero outstanding defects.</w:t>
      </w:r>
    </w:p>
    <w:p>
      <w:pPr>
        <w:spacing w:after="120" w:line="276" w:lineRule="auto"/>
      </w:pPr>
      <w:r>
        <w:t>---</w:t>
      </w:r>
    </w:p>
    <w:p>
      <w:pPr>
        <w:pStyle w:val="Heading2"/>
        <w:spacing w:before="280" w:after="80"/>
      </w:pPr>
      <w:r>
        <w:rPr>
          <w:rFonts w:ascii="Calibri" w:hAnsi="Calibri"/>
          <w:b/>
          <w:color w:val="172B4D"/>
        </w:rPr>
        <w:t>5. Key Performance Indicator (KPI) Achievement Analysis</w:t>
      </w:r>
    </w:p>
    <w:p>
      <w:pPr>
        <w:pStyle w:val="Heading3"/>
        <w:spacing w:before="200" w:after="60"/>
      </w:pPr>
      <w:r>
        <w:rPr>
          <w:rFonts w:ascii="Calibri" w:hAnsi="Calibri"/>
          <w:b/>
          <w:color w:val="344563"/>
        </w:rPr>
        <w:t>5.1 Comparative Performance Metrics Matrix</w:t>
      </w:r>
    </w:p>
    <w:p>
      <w:pPr>
        <w:spacing w:after="120" w:line="276" w:lineRule="auto"/>
      </w:pPr>
      <w:r>
        <w:t>The table below compares legacy manual baseline performance against post-implementation automated performance across all core operational dimensions: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Key Performance Indicator</w:t>
            </w:r>
          </w:p>
        </w:tc>
        <w:tc>
          <w:tcPr>
            <w:tcW w:type="dxa" w:w="1656"/>
            <w:tcMar>
              <w:top w:w="80" w:type="dxa"/>
              <w:bottom w:w="80" w:type="dxa"/>
              <w:left w:w="120" w:type="dxa"/>
              <w:right w:w="120" w:type="dxa"/>
            </w:tcMar>
            <w:shd w:fill="0052CC"/>
          </w:tcPr>
          <w:p>
            <w:pPr>
              <w:spacing w:before="40" w:after="40"/>
            </w:pPr>
            <w:r>
              <w:rPr>
                <w:b/>
                <w:color w:val="FFFFFF"/>
                <w:sz w:val="20"/>
              </w:rPr>
              <w:t>Legacy Baseline</w:t>
            </w:r>
          </w:p>
        </w:tc>
        <w:tc>
          <w:tcPr>
            <w:tcW w:type="dxa" w:w="1656"/>
            <w:tcMar>
              <w:top w:w="80" w:type="dxa"/>
              <w:bottom w:w="80" w:type="dxa"/>
              <w:left w:w="120" w:type="dxa"/>
              <w:right w:w="120" w:type="dxa"/>
            </w:tcMar>
            <w:shd w:fill="0052CC"/>
          </w:tcPr>
          <w:p>
            <w:pPr>
              <w:spacing w:before="40" w:after="40"/>
            </w:pPr>
            <w:r>
              <w:rPr>
                <w:b/>
                <w:color w:val="FFFFFF"/>
                <w:sz w:val="20"/>
              </w:rPr>
              <w:t>Automated Target</w:t>
            </w:r>
          </w:p>
        </w:tc>
        <w:tc>
          <w:tcPr>
            <w:tcW w:type="dxa" w:w="1656"/>
            <w:tcMar>
              <w:top w:w="80" w:type="dxa"/>
              <w:bottom w:w="80" w:type="dxa"/>
              <w:left w:w="120" w:type="dxa"/>
              <w:right w:w="120" w:type="dxa"/>
            </w:tcMar>
            <w:shd w:fill="0052CC"/>
          </w:tcPr>
          <w:p>
            <w:pPr>
              <w:spacing w:before="40" w:after="40"/>
            </w:pPr>
            <w:r>
              <w:rPr>
                <w:b/>
                <w:color w:val="FFFFFF"/>
                <w:sz w:val="20"/>
              </w:rPr>
              <w:t>Delivered Performance</w:t>
            </w:r>
          </w:p>
        </w:tc>
        <w:tc>
          <w:tcPr>
            <w:tcW w:type="dxa" w:w="1656"/>
            <w:tcMar>
              <w:top w:w="80" w:type="dxa"/>
              <w:bottom w:w="80" w:type="dxa"/>
              <w:left w:w="120" w:type="dxa"/>
              <w:right w:w="120" w:type="dxa"/>
            </w:tcMar>
            <w:shd w:fill="0052CC"/>
          </w:tcPr>
          <w:p>
            <w:pPr>
              <w:spacing w:before="40" w:after="40"/>
            </w:pPr>
            <w:r>
              <w:rPr>
                <w:b/>
                <w:color w:val="FFFFFF"/>
                <w:sz w:val="20"/>
              </w:rPr>
              <w:t>Measured Improvement</w:t>
            </w:r>
          </w:p>
        </w:tc>
        <w:tc>
          <w:tcPr>
            <w:tcW w:type="dxa" w:w="1656"/>
            <w:tcMar>
              <w:top w:w="80" w:type="dxa"/>
              <w:bottom w:w="80" w:type="dxa"/>
              <w:left w:w="120" w:type="dxa"/>
              <w:right w:w="120" w:type="dxa"/>
            </w:tcMar>
            <w:shd w:fill="0052CC"/>
          </w:tcPr>
          <w:p>
            <w:pPr>
              <w:spacing w:before="40" w:after="40"/>
            </w:pPr>
            <w:r>
              <w:rPr>
                <w:b/>
                <w:color w:val="FFFFFF"/>
                <w:sz w:val="20"/>
              </w:rPr>
              <w:t>Strategic Business Value</w:t>
            </w:r>
          </w:p>
        </w:tc>
      </w:tr>
      <w:tr>
        <w:tc>
          <w:tcPr>
            <w:tcW w:type="dxa" w:w="1656"/>
            <w:tcMar>
              <w:top w:w="80" w:type="dxa"/>
              <w:bottom w:w="80" w:type="dxa"/>
              <w:left w:w="120" w:type="dxa"/>
              <w:right w:w="120" w:type="dxa"/>
            </w:tcMar>
            <w:shd w:fill="F9FAFC"/>
          </w:tcPr>
          <w:p>
            <w:pPr>
              <w:spacing w:before="40" w:after="40"/>
            </w:pPr>
            <w:r>
              <w:rPr>
                <w:sz w:val="19"/>
              </w:rPr>
              <w:t>End-to-End Cycle Time</w:t>
            </w:r>
          </w:p>
        </w:tc>
        <w:tc>
          <w:tcPr>
            <w:tcW w:type="dxa" w:w="1656"/>
            <w:tcMar>
              <w:top w:w="80" w:type="dxa"/>
              <w:bottom w:w="80" w:type="dxa"/>
              <w:left w:w="120" w:type="dxa"/>
              <w:right w:w="120" w:type="dxa"/>
            </w:tcMar>
            <w:shd w:fill="F9FAFC"/>
          </w:tcPr>
          <w:p>
            <w:pPr>
              <w:spacing w:before="40" w:after="40"/>
            </w:pPr>
            <w:r>
              <w:rPr>
                <w:sz w:val="19"/>
              </w:rPr>
              <w:t>14.2 Days</w:t>
            </w:r>
          </w:p>
        </w:tc>
        <w:tc>
          <w:tcPr>
            <w:tcW w:type="dxa" w:w="1656"/>
            <w:tcMar>
              <w:top w:w="80" w:type="dxa"/>
              <w:bottom w:w="80" w:type="dxa"/>
              <w:left w:w="120" w:type="dxa"/>
              <w:right w:w="120" w:type="dxa"/>
            </w:tcMar>
            <w:shd w:fill="F9FAFC"/>
          </w:tcPr>
          <w:p>
            <w:pPr>
              <w:spacing w:before="40" w:after="40"/>
            </w:pPr>
            <w:r>
              <w:rPr>
                <w:sz w:val="19"/>
              </w:rPr>
              <w:t>&lt; 3.0 Days</w:t>
            </w:r>
          </w:p>
        </w:tc>
        <w:tc>
          <w:tcPr>
            <w:tcW w:type="dxa" w:w="1656"/>
            <w:tcMar>
              <w:top w:w="80" w:type="dxa"/>
              <w:bottom w:w="80" w:type="dxa"/>
              <w:left w:w="120" w:type="dxa"/>
              <w:right w:w="120" w:type="dxa"/>
            </w:tcMar>
            <w:shd w:fill="F9FAFC"/>
          </w:tcPr>
          <w:p>
            <w:pPr>
              <w:spacing w:before="40" w:after="40"/>
            </w:pPr>
            <w:r>
              <w:rPr>
                <w:sz w:val="19"/>
              </w:rPr>
              <w:t>2.4 Days</w:t>
            </w:r>
          </w:p>
        </w:tc>
        <w:tc>
          <w:tcPr>
            <w:tcW w:type="dxa" w:w="1656"/>
            <w:tcMar>
              <w:top w:w="80" w:type="dxa"/>
              <w:bottom w:w="80" w:type="dxa"/>
              <w:left w:w="120" w:type="dxa"/>
              <w:right w:w="120" w:type="dxa"/>
            </w:tcMar>
            <w:shd w:fill="F9FAFC"/>
          </w:tcPr>
          <w:p>
            <w:pPr>
              <w:spacing w:before="40" w:after="40"/>
            </w:pPr>
            <w:r>
              <w:rPr>
                <w:sz w:val="19"/>
              </w:rPr>
              <w:t>83.1% Reduction</w:t>
            </w:r>
          </w:p>
        </w:tc>
        <w:tc>
          <w:tcPr>
            <w:tcW w:type="dxa" w:w="1656"/>
            <w:tcMar>
              <w:top w:w="80" w:type="dxa"/>
              <w:bottom w:w="80" w:type="dxa"/>
              <w:left w:w="120" w:type="dxa"/>
              <w:right w:w="120" w:type="dxa"/>
            </w:tcMar>
            <w:shd w:fill="F9FAFC"/>
          </w:tcPr>
          <w:p>
            <w:pPr>
              <w:spacing w:before="40" w:after="40"/>
            </w:pPr>
            <w:r>
              <w:rPr>
                <w:sz w:val="19"/>
              </w:rPr>
              <w:t>Employees receive configured laptops 11.8 days faster; eliminates onboarding idle time.</w:t>
            </w:r>
          </w:p>
        </w:tc>
      </w:tr>
      <w:tr>
        <w:tc>
          <w:tcPr>
            <w:tcW w:type="dxa" w:w="1656"/>
            <w:tcMar>
              <w:top w:w="80" w:type="dxa"/>
              <w:bottom w:w="80" w:type="dxa"/>
              <w:left w:w="120" w:type="dxa"/>
              <w:right w:w="120" w:type="dxa"/>
            </w:tcMar>
          </w:tcPr>
          <w:p>
            <w:pPr>
              <w:spacing w:before="40" w:after="40"/>
            </w:pPr>
            <w:r>
              <w:rPr>
                <w:sz w:val="19"/>
              </w:rPr>
              <w:t>Specialist Manual Touch Effort</w:t>
            </w:r>
          </w:p>
        </w:tc>
        <w:tc>
          <w:tcPr>
            <w:tcW w:type="dxa" w:w="1656"/>
            <w:tcMar>
              <w:top w:w="80" w:type="dxa"/>
              <w:bottom w:w="80" w:type="dxa"/>
              <w:left w:w="120" w:type="dxa"/>
              <w:right w:w="120" w:type="dxa"/>
            </w:tcMar>
          </w:tcPr>
          <w:p>
            <w:pPr>
              <w:spacing w:before="40" w:after="40"/>
            </w:pPr>
            <w:r>
              <w:rPr>
                <w:sz w:val="19"/>
              </w:rPr>
              <w:t>42.0 Hours/Week</w:t>
            </w:r>
          </w:p>
        </w:tc>
        <w:tc>
          <w:tcPr>
            <w:tcW w:type="dxa" w:w="1656"/>
            <w:tcMar>
              <w:top w:w="80" w:type="dxa"/>
              <w:bottom w:w="80" w:type="dxa"/>
              <w:left w:w="120" w:type="dxa"/>
              <w:right w:w="120" w:type="dxa"/>
            </w:tcMar>
          </w:tcPr>
          <w:p>
            <w:pPr>
              <w:spacing w:before="40" w:after="40"/>
            </w:pPr>
            <w:r>
              <w:rPr>
                <w:sz w:val="19"/>
              </w:rPr>
              <w:t>&lt; 5.0 Hours/Week</w:t>
            </w:r>
          </w:p>
        </w:tc>
        <w:tc>
          <w:tcPr>
            <w:tcW w:type="dxa" w:w="1656"/>
            <w:tcMar>
              <w:top w:w="80" w:type="dxa"/>
              <w:bottom w:w="80" w:type="dxa"/>
              <w:left w:w="120" w:type="dxa"/>
              <w:right w:w="120" w:type="dxa"/>
            </w:tcMar>
          </w:tcPr>
          <w:p>
            <w:pPr>
              <w:spacing w:before="40" w:after="40"/>
            </w:pPr>
            <w:r>
              <w:rPr>
                <w:sz w:val="19"/>
              </w:rPr>
              <w:t>3.3 Hours/Week</w:t>
            </w:r>
          </w:p>
        </w:tc>
        <w:tc>
          <w:tcPr>
            <w:tcW w:type="dxa" w:w="1656"/>
            <w:tcMar>
              <w:top w:w="80" w:type="dxa"/>
              <w:bottom w:w="80" w:type="dxa"/>
              <w:left w:w="120" w:type="dxa"/>
              <w:right w:w="120" w:type="dxa"/>
            </w:tcMar>
          </w:tcPr>
          <w:p>
            <w:pPr>
              <w:spacing w:before="40" w:after="40"/>
            </w:pPr>
            <w:r>
              <w:rPr>
                <w:sz w:val="19"/>
              </w:rPr>
              <w:t>92.2% Reduction</w:t>
            </w:r>
          </w:p>
        </w:tc>
        <w:tc>
          <w:tcPr>
            <w:tcW w:type="dxa" w:w="1656"/>
            <w:tcMar>
              <w:top w:w="80" w:type="dxa"/>
              <w:bottom w:w="80" w:type="dxa"/>
              <w:left w:w="120" w:type="dxa"/>
              <w:right w:w="120" w:type="dxa"/>
            </w:tcMar>
          </w:tcPr>
          <w:p>
            <w:pPr>
              <w:spacing w:before="40" w:after="40"/>
            </w:pPr>
            <w:r>
              <w:rPr>
                <w:sz w:val="19"/>
              </w:rPr>
              <w:t>IT specialists reclaim 38.7 hours weekly from routine clerical order processing.</w:t>
            </w:r>
          </w:p>
        </w:tc>
      </w:tr>
      <w:tr>
        <w:tc>
          <w:tcPr>
            <w:tcW w:type="dxa" w:w="1656"/>
            <w:tcMar>
              <w:top w:w="80" w:type="dxa"/>
              <w:bottom w:w="80" w:type="dxa"/>
              <w:left w:w="120" w:type="dxa"/>
              <w:right w:w="120" w:type="dxa"/>
            </w:tcMar>
            <w:shd w:fill="F9FAFC"/>
          </w:tcPr>
          <w:p>
            <w:pPr>
              <w:spacing w:before="40" w:after="40"/>
            </w:pPr>
            <w:r>
              <w:rPr>
                <w:sz w:val="19"/>
              </w:rPr>
              <w:t>Manual Touch Time per Order</w:t>
            </w:r>
          </w:p>
        </w:tc>
        <w:tc>
          <w:tcPr>
            <w:tcW w:type="dxa" w:w="1656"/>
            <w:tcMar>
              <w:top w:w="80" w:type="dxa"/>
              <w:bottom w:w="80" w:type="dxa"/>
              <w:left w:w="120" w:type="dxa"/>
              <w:right w:w="120" w:type="dxa"/>
            </w:tcMar>
            <w:shd w:fill="F9FAFC"/>
          </w:tcPr>
          <w:p>
            <w:pPr>
              <w:spacing w:before="40" w:after="40"/>
            </w:pPr>
            <w:r>
              <w:rPr>
                <w:sz w:val="19"/>
              </w:rPr>
              <w:t>4.5 Hours</w:t>
            </w:r>
          </w:p>
        </w:tc>
        <w:tc>
          <w:tcPr>
            <w:tcW w:type="dxa" w:w="1656"/>
            <w:tcMar>
              <w:top w:w="80" w:type="dxa"/>
              <w:bottom w:w="80" w:type="dxa"/>
              <w:left w:w="120" w:type="dxa"/>
              <w:right w:w="120" w:type="dxa"/>
            </w:tcMar>
            <w:shd w:fill="F9FAFC"/>
          </w:tcPr>
          <w:p>
            <w:pPr>
              <w:spacing w:before="40" w:after="40"/>
            </w:pPr>
            <w:r>
              <w:rPr>
                <w:sz w:val="19"/>
              </w:rPr>
              <w:t>&lt; 0.5 Hours</w:t>
            </w:r>
          </w:p>
        </w:tc>
        <w:tc>
          <w:tcPr>
            <w:tcW w:type="dxa" w:w="1656"/>
            <w:tcMar>
              <w:top w:w="80" w:type="dxa"/>
              <w:bottom w:w="80" w:type="dxa"/>
              <w:left w:w="120" w:type="dxa"/>
              <w:right w:w="120" w:type="dxa"/>
            </w:tcMar>
            <w:shd w:fill="F9FAFC"/>
          </w:tcPr>
          <w:p>
            <w:pPr>
              <w:spacing w:before="40" w:after="40"/>
            </w:pPr>
            <w:r>
              <w:rPr>
                <w:sz w:val="19"/>
              </w:rPr>
              <w:t>0.35 Hours (21 min)</w:t>
            </w:r>
          </w:p>
        </w:tc>
        <w:tc>
          <w:tcPr>
            <w:tcW w:type="dxa" w:w="1656"/>
            <w:tcMar>
              <w:top w:w="80" w:type="dxa"/>
              <w:bottom w:w="80" w:type="dxa"/>
              <w:left w:w="120" w:type="dxa"/>
              <w:right w:w="120" w:type="dxa"/>
            </w:tcMar>
            <w:shd w:fill="F9FAFC"/>
          </w:tcPr>
          <w:p>
            <w:pPr>
              <w:spacing w:before="40" w:after="40"/>
            </w:pPr>
            <w:r>
              <w:rPr>
                <w:sz w:val="19"/>
              </w:rPr>
              <w:t>92.2% Reduction</w:t>
            </w:r>
          </w:p>
        </w:tc>
        <w:tc>
          <w:tcPr>
            <w:tcW w:type="dxa" w:w="1656"/>
            <w:tcMar>
              <w:top w:w="80" w:type="dxa"/>
              <w:bottom w:w="80" w:type="dxa"/>
              <w:left w:w="120" w:type="dxa"/>
              <w:right w:w="120" w:type="dxa"/>
            </w:tcMar>
            <w:shd w:fill="F9FAFC"/>
          </w:tcPr>
          <w:p>
            <w:pPr>
              <w:spacing w:before="40" w:after="40"/>
            </w:pPr>
            <w:r>
              <w:rPr>
                <w:sz w:val="19"/>
              </w:rPr>
              <w:t>Eliminates manual transcription, phone calls, and manual spreadsheet lookups.</w:t>
            </w:r>
          </w:p>
        </w:tc>
      </w:tr>
      <w:tr>
        <w:tc>
          <w:tcPr>
            <w:tcW w:type="dxa" w:w="1656"/>
            <w:tcMar>
              <w:top w:w="80" w:type="dxa"/>
              <w:bottom w:w="80" w:type="dxa"/>
              <w:left w:w="120" w:type="dxa"/>
              <w:right w:w="120" w:type="dxa"/>
            </w:tcMar>
          </w:tcPr>
          <w:p>
            <w:pPr>
              <w:spacing w:before="40" w:after="40"/>
            </w:pPr>
            <w:r>
              <w:rPr>
                <w:sz w:val="19"/>
              </w:rPr>
              <w:t>Order Tracking Visibility</w:t>
            </w:r>
          </w:p>
        </w:tc>
        <w:tc>
          <w:tcPr>
            <w:tcW w:type="dxa" w:w="1656"/>
            <w:tcMar>
              <w:top w:w="80" w:type="dxa"/>
              <w:bottom w:w="80" w:type="dxa"/>
              <w:left w:w="120" w:type="dxa"/>
              <w:right w:w="120" w:type="dxa"/>
            </w:tcMar>
          </w:tcPr>
          <w:p>
            <w:pPr>
              <w:spacing w:before="40" w:after="40"/>
            </w:pPr>
            <w:r>
              <w:rPr>
                <w:sz w:val="19"/>
              </w:rPr>
              <w:t>35.0%</w:t>
            </w:r>
          </w:p>
        </w:tc>
        <w:tc>
          <w:tcPr>
            <w:tcW w:type="dxa" w:w="1656"/>
            <w:tcMar>
              <w:top w:w="80" w:type="dxa"/>
              <w:bottom w:w="80" w:type="dxa"/>
              <w:left w:w="120" w:type="dxa"/>
              <w:right w:w="120" w:type="dxa"/>
            </w:tcMar>
          </w:tcPr>
          <w:p>
            <w:pPr>
              <w:spacing w:before="40" w:after="40"/>
            </w:pPr>
            <w:r>
              <w:rPr>
                <w:sz w:val="19"/>
              </w:rPr>
              <w:t>100.0%</w:t>
            </w:r>
          </w:p>
        </w:tc>
        <w:tc>
          <w:tcPr>
            <w:tcW w:type="dxa" w:w="1656"/>
            <w:tcMar>
              <w:top w:w="80" w:type="dxa"/>
              <w:bottom w:w="80" w:type="dxa"/>
              <w:left w:w="120" w:type="dxa"/>
              <w:right w:w="120" w:type="dxa"/>
            </w:tcMar>
          </w:tcPr>
          <w:p>
            <w:pPr>
              <w:spacing w:before="40" w:after="40"/>
            </w:pPr>
            <w:r>
              <w:rPr>
                <w:sz w:val="19"/>
              </w:rPr>
              <w:t>100.0%</w:t>
            </w:r>
          </w:p>
        </w:tc>
        <w:tc>
          <w:tcPr>
            <w:tcW w:type="dxa" w:w="1656"/>
            <w:tcMar>
              <w:top w:w="80" w:type="dxa"/>
              <w:bottom w:w="80" w:type="dxa"/>
              <w:left w:w="120" w:type="dxa"/>
              <w:right w:w="120" w:type="dxa"/>
            </w:tcMar>
          </w:tcPr>
          <w:p>
            <w:pPr>
              <w:spacing w:before="40" w:after="40"/>
            </w:pPr>
            <w:r>
              <w:rPr>
                <w:sz w:val="19"/>
              </w:rPr>
              <w:t>+65.0% Gain</w:t>
            </w:r>
          </w:p>
        </w:tc>
        <w:tc>
          <w:tcPr>
            <w:tcW w:type="dxa" w:w="1656"/>
            <w:tcMar>
              <w:top w:w="80" w:type="dxa"/>
              <w:bottom w:w="80" w:type="dxa"/>
              <w:left w:w="120" w:type="dxa"/>
              <w:right w:w="120" w:type="dxa"/>
            </w:tcMar>
          </w:tcPr>
          <w:p>
            <w:pPr>
              <w:spacing w:before="40" w:after="40"/>
            </w:pPr>
            <w:r>
              <w:rPr>
                <w:sz w:val="19"/>
              </w:rPr>
              <w:t>Real-time stage tracking on portal; carrier tracking waybill automatically emailed.</w:t>
            </w:r>
          </w:p>
        </w:tc>
      </w:tr>
      <w:tr>
        <w:tc>
          <w:tcPr>
            <w:tcW w:type="dxa" w:w="1656"/>
            <w:tcMar>
              <w:top w:w="80" w:type="dxa"/>
              <w:bottom w:w="80" w:type="dxa"/>
              <w:left w:w="120" w:type="dxa"/>
              <w:right w:w="120" w:type="dxa"/>
            </w:tcMar>
            <w:shd w:fill="F9FAFC"/>
          </w:tcPr>
          <w:p>
            <w:pPr>
              <w:spacing w:before="40" w:after="40"/>
            </w:pPr>
            <w:r>
              <w:rPr>
                <w:sz w:val="19"/>
              </w:rPr>
              <w:t>Order Specification Error Rate</w:t>
            </w:r>
          </w:p>
        </w:tc>
        <w:tc>
          <w:tcPr>
            <w:tcW w:type="dxa" w:w="1656"/>
            <w:tcMar>
              <w:top w:w="80" w:type="dxa"/>
              <w:bottom w:w="80" w:type="dxa"/>
              <w:left w:w="120" w:type="dxa"/>
              <w:right w:w="120" w:type="dxa"/>
            </w:tcMar>
            <w:shd w:fill="F9FAFC"/>
          </w:tcPr>
          <w:p>
            <w:pPr>
              <w:spacing w:before="40" w:after="40"/>
            </w:pPr>
            <w:r>
              <w:rPr>
                <w:sz w:val="19"/>
              </w:rPr>
              <w:t>18.0%</w:t>
            </w:r>
          </w:p>
        </w:tc>
        <w:tc>
          <w:tcPr>
            <w:tcW w:type="dxa" w:w="1656"/>
            <w:tcMar>
              <w:top w:w="80" w:type="dxa"/>
              <w:bottom w:w="80" w:type="dxa"/>
              <w:left w:w="120" w:type="dxa"/>
              <w:right w:w="120" w:type="dxa"/>
            </w:tcMar>
            <w:shd w:fill="F9FAFC"/>
          </w:tcPr>
          <w:p>
            <w:pPr>
              <w:spacing w:before="40" w:after="40"/>
            </w:pPr>
            <w:r>
              <w:rPr>
                <w:sz w:val="19"/>
              </w:rPr>
              <w:t>&lt; 1.0%</w:t>
            </w:r>
          </w:p>
        </w:tc>
        <w:tc>
          <w:tcPr>
            <w:tcW w:type="dxa" w:w="1656"/>
            <w:tcMar>
              <w:top w:w="80" w:type="dxa"/>
              <w:bottom w:w="80" w:type="dxa"/>
              <w:left w:w="120" w:type="dxa"/>
              <w:right w:w="120" w:type="dxa"/>
            </w:tcMar>
            <w:shd w:fill="F9FAFC"/>
          </w:tcPr>
          <w:p>
            <w:pPr>
              <w:spacing w:before="40" w:after="40"/>
            </w:pPr>
            <w:r>
              <w:rPr>
                <w:sz w:val="19"/>
              </w:rPr>
              <w:t>0.4%</w:t>
            </w:r>
          </w:p>
        </w:tc>
        <w:tc>
          <w:tcPr>
            <w:tcW w:type="dxa" w:w="1656"/>
            <w:tcMar>
              <w:top w:w="80" w:type="dxa"/>
              <w:bottom w:w="80" w:type="dxa"/>
              <w:left w:w="120" w:type="dxa"/>
              <w:right w:w="120" w:type="dxa"/>
            </w:tcMar>
            <w:shd w:fill="F9FAFC"/>
          </w:tcPr>
          <w:p>
            <w:pPr>
              <w:spacing w:before="40" w:after="40"/>
            </w:pPr>
            <w:r>
              <w:rPr>
                <w:sz w:val="19"/>
              </w:rPr>
              <w:t>97.8% Quality Gain</w:t>
            </w:r>
          </w:p>
        </w:tc>
        <w:tc>
          <w:tcPr>
            <w:tcW w:type="dxa" w:w="1656"/>
            <w:tcMar>
              <w:top w:w="80" w:type="dxa"/>
              <w:bottom w:w="80" w:type="dxa"/>
              <w:left w:w="120" w:type="dxa"/>
              <w:right w:w="120" w:type="dxa"/>
            </w:tcMar>
            <w:shd w:fill="F9FAFC"/>
          </w:tcPr>
          <w:p>
            <w:pPr>
              <w:spacing w:before="40" w:after="40"/>
            </w:pPr>
            <w:r>
              <w:rPr>
                <w:sz w:val="19"/>
              </w:rPr>
              <w:t>Eliminates wrong laptop models, missing peripherals, and bad shipping addresses.</w:t>
            </w:r>
          </w:p>
        </w:tc>
      </w:tr>
      <w:tr>
        <w:tc>
          <w:tcPr>
            <w:tcW w:type="dxa" w:w="1656"/>
            <w:tcMar>
              <w:top w:w="80" w:type="dxa"/>
              <w:bottom w:w="80" w:type="dxa"/>
              <w:left w:w="120" w:type="dxa"/>
              <w:right w:w="120" w:type="dxa"/>
            </w:tcMar>
          </w:tcPr>
          <w:p>
            <w:pPr>
              <w:spacing w:before="40" w:after="40"/>
            </w:pPr>
            <w:r>
              <w:rPr>
                <w:sz w:val="19"/>
              </w:rPr>
              <w:t>Manager Approval Turnaround</w:t>
            </w:r>
          </w:p>
        </w:tc>
        <w:tc>
          <w:tcPr>
            <w:tcW w:type="dxa" w:w="1656"/>
            <w:tcMar>
              <w:top w:w="80" w:type="dxa"/>
              <w:bottom w:w="80" w:type="dxa"/>
              <w:left w:w="120" w:type="dxa"/>
              <w:right w:w="120" w:type="dxa"/>
            </w:tcMar>
          </w:tcPr>
          <w:p>
            <w:pPr>
              <w:spacing w:before="40" w:after="40"/>
            </w:pPr>
            <w:r>
              <w:rPr>
                <w:sz w:val="19"/>
              </w:rPr>
              <w:t>78.4 Hours</w:t>
            </w:r>
          </w:p>
        </w:tc>
        <w:tc>
          <w:tcPr>
            <w:tcW w:type="dxa" w:w="1656"/>
            <w:tcMar>
              <w:top w:w="80" w:type="dxa"/>
              <w:bottom w:w="80" w:type="dxa"/>
              <w:left w:w="120" w:type="dxa"/>
              <w:right w:w="120" w:type="dxa"/>
            </w:tcMar>
          </w:tcPr>
          <w:p>
            <w:pPr>
              <w:spacing w:before="40" w:after="40"/>
            </w:pPr>
            <w:r>
              <w:rPr>
                <w:sz w:val="19"/>
              </w:rPr>
              <w:t>&lt; 12.0 Hours</w:t>
            </w:r>
          </w:p>
        </w:tc>
        <w:tc>
          <w:tcPr>
            <w:tcW w:type="dxa" w:w="1656"/>
            <w:tcMar>
              <w:top w:w="80" w:type="dxa"/>
              <w:bottom w:w="80" w:type="dxa"/>
              <w:left w:w="120" w:type="dxa"/>
              <w:right w:w="120" w:type="dxa"/>
            </w:tcMar>
          </w:tcPr>
          <w:p>
            <w:pPr>
              <w:spacing w:before="40" w:after="40"/>
            </w:pPr>
            <w:r>
              <w:rPr>
                <w:sz w:val="19"/>
              </w:rPr>
              <w:t>6.2 Hours</w:t>
            </w:r>
          </w:p>
        </w:tc>
        <w:tc>
          <w:tcPr>
            <w:tcW w:type="dxa" w:w="1656"/>
            <w:tcMar>
              <w:top w:w="80" w:type="dxa"/>
              <w:bottom w:w="80" w:type="dxa"/>
              <w:left w:w="120" w:type="dxa"/>
              <w:right w:w="120" w:type="dxa"/>
            </w:tcMar>
          </w:tcPr>
          <w:p>
            <w:pPr>
              <w:spacing w:before="40" w:after="40"/>
            </w:pPr>
            <w:r>
              <w:rPr>
                <w:sz w:val="19"/>
              </w:rPr>
              <w:t>92.1% Faster</w:t>
            </w:r>
          </w:p>
        </w:tc>
        <w:tc>
          <w:tcPr>
            <w:tcW w:type="dxa" w:w="1656"/>
            <w:tcMar>
              <w:top w:w="80" w:type="dxa"/>
              <w:bottom w:w="80" w:type="dxa"/>
              <w:left w:w="120" w:type="dxa"/>
              <w:right w:w="120" w:type="dxa"/>
            </w:tcMar>
          </w:tcPr>
          <w:p>
            <w:pPr>
              <w:spacing w:before="40" w:after="40"/>
            </w:pPr>
            <w:r>
              <w:rPr>
                <w:sz w:val="19"/>
              </w:rPr>
              <w:t>Mobile-optimized email one-click approve/reject links drive rapid authorizations.</w:t>
            </w:r>
          </w:p>
        </w:tc>
      </w:tr>
      <w:tr>
        <w:tc>
          <w:tcPr>
            <w:tcW w:type="dxa" w:w="1656"/>
            <w:tcMar>
              <w:top w:w="80" w:type="dxa"/>
              <w:bottom w:w="80" w:type="dxa"/>
              <w:left w:w="120" w:type="dxa"/>
              <w:right w:w="120" w:type="dxa"/>
            </w:tcMar>
            <w:shd w:fill="F9FAFC"/>
          </w:tcPr>
          <w:p>
            <w:pPr>
              <w:spacing w:before="40" w:after="40"/>
            </w:pPr>
            <w:r>
              <w:rPr>
                <w:sz w:val="19"/>
              </w:rPr>
              <w:t>Lost / Escalated Order Volume</w:t>
            </w:r>
          </w:p>
        </w:tc>
        <w:tc>
          <w:tcPr>
            <w:tcW w:type="dxa" w:w="1656"/>
            <w:tcMar>
              <w:top w:w="80" w:type="dxa"/>
              <w:bottom w:w="80" w:type="dxa"/>
              <w:left w:w="120" w:type="dxa"/>
              <w:right w:w="120" w:type="dxa"/>
            </w:tcMar>
            <w:shd w:fill="F9FAFC"/>
          </w:tcPr>
          <w:p>
            <w:pPr>
              <w:spacing w:before="40" w:after="40"/>
            </w:pPr>
            <w:r>
              <w:rPr>
                <w:sz w:val="19"/>
              </w:rPr>
              <w:t>42 Orders/Month</w:t>
            </w:r>
          </w:p>
        </w:tc>
        <w:tc>
          <w:tcPr>
            <w:tcW w:type="dxa" w:w="1656"/>
            <w:tcMar>
              <w:top w:w="80" w:type="dxa"/>
              <w:bottom w:w="80" w:type="dxa"/>
              <w:left w:w="120" w:type="dxa"/>
              <w:right w:w="120" w:type="dxa"/>
            </w:tcMar>
            <w:shd w:fill="F9FAFC"/>
          </w:tcPr>
          <w:p>
            <w:pPr>
              <w:spacing w:before="40" w:after="40"/>
            </w:pPr>
            <w:r>
              <w:rPr>
                <w:sz w:val="19"/>
              </w:rPr>
              <w:t>&lt; 3 Orders/Month</w:t>
            </w:r>
          </w:p>
        </w:tc>
        <w:tc>
          <w:tcPr>
            <w:tcW w:type="dxa" w:w="1656"/>
            <w:tcMar>
              <w:top w:w="80" w:type="dxa"/>
              <w:bottom w:w="80" w:type="dxa"/>
              <w:left w:w="120" w:type="dxa"/>
              <w:right w:w="120" w:type="dxa"/>
            </w:tcMar>
            <w:shd w:fill="F9FAFC"/>
          </w:tcPr>
          <w:p>
            <w:pPr>
              <w:spacing w:before="40" w:after="40"/>
            </w:pPr>
            <w:r>
              <w:rPr>
                <w:sz w:val="19"/>
              </w:rPr>
              <w:t>1 Order/Month</w:t>
            </w:r>
          </w:p>
        </w:tc>
        <w:tc>
          <w:tcPr>
            <w:tcW w:type="dxa" w:w="1656"/>
            <w:tcMar>
              <w:top w:w="80" w:type="dxa"/>
              <w:bottom w:w="80" w:type="dxa"/>
              <w:left w:w="120" w:type="dxa"/>
              <w:right w:w="120" w:type="dxa"/>
            </w:tcMar>
            <w:shd w:fill="F9FAFC"/>
          </w:tcPr>
          <w:p>
            <w:pPr>
              <w:spacing w:before="40" w:after="40"/>
            </w:pPr>
            <w:r>
              <w:rPr>
                <w:sz w:val="19"/>
              </w:rPr>
              <w:t>97.6% Drop</w:t>
            </w:r>
          </w:p>
        </w:tc>
        <w:tc>
          <w:tcPr>
            <w:tcW w:type="dxa" w:w="1656"/>
            <w:tcMar>
              <w:top w:w="80" w:type="dxa"/>
              <w:bottom w:w="80" w:type="dxa"/>
              <w:left w:w="120" w:type="dxa"/>
              <w:right w:w="120" w:type="dxa"/>
            </w:tcMar>
            <w:shd w:fill="F9FAFC"/>
          </w:tcPr>
          <w:p>
            <w:pPr>
              <w:spacing w:before="40" w:after="40"/>
            </w:pPr>
            <w:r>
              <w:rPr>
                <w:sz w:val="19"/>
              </w:rPr>
              <w:t>Transparent automated flow prevents requisitions from falling through cracks.</w:t>
            </w:r>
          </w:p>
        </w:tc>
      </w:tr>
      <w:tr>
        <w:tc>
          <w:tcPr>
            <w:tcW w:type="dxa" w:w="1656"/>
            <w:tcMar>
              <w:top w:w="80" w:type="dxa"/>
              <w:bottom w:w="80" w:type="dxa"/>
              <w:left w:w="120" w:type="dxa"/>
              <w:right w:w="120" w:type="dxa"/>
            </w:tcMar>
          </w:tcPr>
          <w:p>
            <w:pPr>
              <w:spacing w:before="40" w:after="40"/>
            </w:pPr>
            <w:r>
              <w:rPr>
                <w:sz w:val="19"/>
              </w:rPr>
              <w:t>Internal Customer Satisfaction</w:t>
            </w:r>
          </w:p>
        </w:tc>
        <w:tc>
          <w:tcPr>
            <w:tcW w:type="dxa" w:w="1656"/>
            <w:tcMar>
              <w:top w:w="80" w:type="dxa"/>
              <w:bottom w:w="80" w:type="dxa"/>
              <w:left w:w="120" w:type="dxa"/>
              <w:right w:w="120" w:type="dxa"/>
            </w:tcMar>
          </w:tcPr>
          <w:p>
            <w:pPr>
              <w:spacing w:before="40" w:after="40"/>
            </w:pPr>
            <w:r>
              <w:rPr>
                <w:sz w:val="19"/>
              </w:rPr>
              <w:t>61.2%</w:t>
            </w:r>
          </w:p>
        </w:tc>
        <w:tc>
          <w:tcPr>
            <w:tcW w:type="dxa" w:w="1656"/>
            <w:tcMar>
              <w:top w:w="80" w:type="dxa"/>
              <w:bottom w:w="80" w:type="dxa"/>
              <w:left w:w="120" w:type="dxa"/>
              <w:right w:w="120" w:type="dxa"/>
            </w:tcMar>
          </w:tcPr>
          <w:p>
            <w:pPr>
              <w:spacing w:before="40" w:after="40"/>
            </w:pPr>
            <w:r>
              <w:rPr>
                <w:sz w:val="19"/>
              </w:rPr>
              <w:t>&gt; 85.0%</w:t>
            </w:r>
          </w:p>
        </w:tc>
        <w:tc>
          <w:tcPr>
            <w:tcW w:type="dxa" w:w="1656"/>
            <w:tcMar>
              <w:top w:w="80" w:type="dxa"/>
              <w:bottom w:w="80" w:type="dxa"/>
              <w:left w:w="120" w:type="dxa"/>
              <w:right w:w="120" w:type="dxa"/>
            </w:tcMar>
          </w:tcPr>
          <w:p>
            <w:pPr>
              <w:spacing w:before="40" w:after="40"/>
            </w:pPr>
            <w:r>
              <w:rPr>
                <w:sz w:val="19"/>
              </w:rPr>
              <w:t>94.6%</w:t>
            </w:r>
          </w:p>
        </w:tc>
        <w:tc>
          <w:tcPr>
            <w:tcW w:type="dxa" w:w="1656"/>
            <w:tcMar>
              <w:top w:w="80" w:type="dxa"/>
              <w:bottom w:w="80" w:type="dxa"/>
              <w:left w:w="120" w:type="dxa"/>
              <w:right w:w="120" w:type="dxa"/>
            </w:tcMar>
          </w:tcPr>
          <w:p>
            <w:pPr>
              <w:spacing w:before="40" w:after="40"/>
            </w:pPr>
            <w:r>
              <w:rPr>
                <w:sz w:val="19"/>
              </w:rPr>
              <w:t>+33.4 Points</w:t>
            </w:r>
          </w:p>
        </w:tc>
        <w:tc>
          <w:tcPr>
            <w:tcW w:type="dxa" w:w="1656"/>
            <w:tcMar>
              <w:top w:w="80" w:type="dxa"/>
              <w:bottom w:w="80" w:type="dxa"/>
              <w:left w:w="120" w:type="dxa"/>
              <w:right w:w="120" w:type="dxa"/>
            </w:tcMar>
          </w:tcPr>
          <w:p>
            <w:pPr>
              <w:spacing w:before="40" w:after="40"/>
            </w:pPr>
            <w:r>
              <w:rPr>
                <w:sz w:val="19"/>
              </w:rPr>
              <w:t>Employees and managers praise transparent, frictionless procurement experience.</w:t>
            </w:r>
          </w:p>
        </w:tc>
      </w:tr>
      <w:tr>
        <w:tc>
          <w:tcPr>
            <w:tcW w:type="dxa" w:w="1656"/>
            <w:tcMar>
              <w:top w:w="80" w:type="dxa"/>
              <w:bottom w:w="80" w:type="dxa"/>
              <w:left w:w="120" w:type="dxa"/>
              <w:right w:w="120" w:type="dxa"/>
            </w:tcMar>
            <w:shd w:fill="F9FAFC"/>
          </w:tcPr>
          <w:p>
            <w:pPr>
              <w:spacing w:before="40" w:after="40"/>
            </w:pPr>
            <w:r>
              <w:rPr>
                <w:sz w:val="19"/>
              </w:rPr>
              <w:t>Asset Tracking Compliance (HAM)</w:t>
            </w:r>
          </w:p>
        </w:tc>
        <w:tc>
          <w:tcPr>
            <w:tcW w:type="dxa" w:w="1656"/>
            <w:tcMar>
              <w:top w:w="80" w:type="dxa"/>
              <w:bottom w:w="80" w:type="dxa"/>
              <w:left w:w="120" w:type="dxa"/>
              <w:right w:w="120" w:type="dxa"/>
            </w:tcMar>
            <w:shd w:fill="F9FAFC"/>
          </w:tcPr>
          <w:p>
            <w:pPr>
              <w:spacing w:before="40" w:after="40"/>
            </w:pPr>
            <w:r>
              <w:rPr>
                <w:sz w:val="19"/>
              </w:rPr>
              <w:t>72.0%</w:t>
            </w:r>
          </w:p>
        </w:tc>
        <w:tc>
          <w:tcPr>
            <w:tcW w:type="dxa" w:w="1656"/>
            <w:tcMar>
              <w:top w:w="80" w:type="dxa"/>
              <w:bottom w:w="80" w:type="dxa"/>
              <w:left w:w="120" w:type="dxa"/>
              <w:right w:w="120" w:type="dxa"/>
            </w:tcMar>
            <w:shd w:fill="F9FAFC"/>
          </w:tcPr>
          <w:p>
            <w:pPr>
              <w:spacing w:before="40" w:after="40"/>
            </w:pPr>
            <w:r>
              <w:rPr>
                <w:sz w:val="19"/>
              </w:rPr>
              <w:t>&gt; 98.0%</w:t>
            </w:r>
          </w:p>
        </w:tc>
        <w:tc>
          <w:tcPr>
            <w:tcW w:type="dxa" w:w="1656"/>
            <w:tcMar>
              <w:top w:w="80" w:type="dxa"/>
              <w:bottom w:w="80" w:type="dxa"/>
              <w:left w:w="120" w:type="dxa"/>
              <w:right w:w="120" w:type="dxa"/>
            </w:tcMar>
            <w:shd w:fill="F9FAFC"/>
          </w:tcPr>
          <w:p>
            <w:pPr>
              <w:spacing w:before="40" w:after="40"/>
            </w:pPr>
            <w:r>
              <w:rPr>
                <w:sz w:val="19"/>
              </w:rPr>
              <w:t>99.8%</w:t>
            </w:r>
          </w:p>
        </w:tc>
        <w:tc>
          <w:tcPr>
            <w:tcW w:type="dxa" w:w="1656"/>
            <w:tcMar>
              <w:top w:w="80" w:type="dxa"/>
              <w:bottom w:w="80" w:type="dxa"/>
              <w:left w:w="120" w:type="dxa"/>
              <w:right w:w="120" w:type="dxa"/>
            </w:tcMar>
            <w:shd w:fill="F9FAFC"/>
          </w:tcPr>
          <w:p>
            <w:pPr>
              <w:spacing w:before="40" w:after="40"/>
            </w:pPr>
            <w:r>
              <w:rPr>
                <w:sz w:val="19"/>
              </w:rPr>
              <w:t>Audit Ready</w:t>
            </w:r>
          </w:p>
        </w:tc>
        <w:tc>
          <w:tcPr>
            <w:tcW w:type="dxa" w:w="1656"/>
            <w:tcMar>
              <w:top w:w="80" w:type="dxa"/>
              <w:bottom w:w="80" w:type="dxa"/>
              <w:left w:w="120" w:type="dxa"/>
              <w:right w:w="120" w:type="dxa"/>
            </w:tcMar>
            <w:shd w:fill="F9FAFC"/>
          </w:tcPr>
          <w:p>
            <w:pPr>
              <w:spacing w:before="40" w:after="40"/>
            </w:pPr>
            <w:r>
              <w:rPr>
                <w:sz w:val="19"/>
              </w:rPr>
              <w:t>Automated reservation and assignment ensures zero audit discrepancies in alm_hardware.</w:t>
            </w:r>
          </w:p>
        </w:tc>
      </w:tr>
    </w:tbl>
    <w:p>
      <w:pPr>
        <w:spacing w:after="120"/>
      </w:pP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VISUAL PERFORMANCE COMPARISON (LEGACY VS DELIVERED)                        |</w:t>
              <w:br/>
              <w:t>+----------------------------------------------------------------------------------------------------+</w:t>
              <w:br/>
              <w:t>| Cycle Time (Days):                                                                                 |</w:t>
              <w:br/>
              <w:t>| Legacy:    [████████████████████████████████████████████████] 14.2 Days                            |</w:t>
              <w:br/>
              <w:t>| Delivered: [████████] 2.4 Days (-83.1%)                                                            |</w:t>
              <w:br/>
              <w:t>|                                                                                                    |</w:t>
              <w:br/>
              <w:t>| Specialist Manual Effort (Hours/Week):                                                             |</w:t>
              <w:br/>
              <w:t>| Legacy:    [████████████████████████████████████████████████] 42.0 Hours                           |</w:t>
              <w:br/>
              <w:t>| Delivered: [████] 3.3 Hours (-92.2%)                                                               |</w:t>
              <w:br/>
              <w:t>|                                                                                                    |</w:t>
              <w:br/>
              <w:t>| Order Tracking Visibility (%):                                                                     |</w:t>
              <w:br/>
              <w:t>| Legacy:    [█████████████████] 35%                                                                 |</w:t>
              <w:br/>
              <w:t>| Delivered: [████████████████████████████████████████████████] 100% (+65%)                          |</w:t>
              <w:br/>
              <w:t>|                                                                                                    |</w:t>
              <w:br/>
              <w:t>| Requisition Error Rate (%):                                                                        |</w:t>
              <w:br/>
              <w:t>| Legacy:    [█████████] 18.0%                                                                       |</w:t>
              <w:br/>
              <w:t>| Delivered: [▎] 0.4% (-97.8%)                                                                       |</w:t>
              <w:br/>
              <w:t>+----------------------------------------------------------------------------------------------------+</w:t>
            </w:r>
          </w:p>
        </w:tc>
      </w:tr>
    </w:tbl>
    <w:p>
      <w:pPr>
        <w:spacing w:after="80"/>
      </w:pPr>
    </w:p>
    <w:p>
      <w:pPr>
        <w:pStyle w:val="Heading3"/>
        <w:spacing w:before="200" w:after="60"/>
      </w:pPr>
      <w:r>
        <w:rPr>
          <w:rFonts w:ascii="Calibri" w:hAnsi="Calibri"/>
          <w:b/>
          <w:color w:val="344563"/>
        </w:rPr>
        <w:t>5.2 Deep-Dive Operational Impact</w:t>
      </w:r>
    </w:p>
    <w:p>
      <w:pPr>
        <w:pStyle w:val="ListNumber"/>
        <w:spacing w:after="40"/>
      </w:pPr>
      <w:r>
        <w:rPr>
          <w:b/>
        </w:rPr>
        <w:t>Cycle Time Acceleration</w:t>
      </w:r>
      <w:r>
        <w:t>: The compression from 14.2 to 2.4 days removes a primary friction point in corporate onboarding. New hires now arrive on Day 1 with fully imaged, localized laptops in hand, driving immediate workforce productivity.</w:t>
      </w:r>
    </w:p>
    <w:p>
      <w:pPr>
        <w:pStyle w:val="ListNumber"/>
        <w:spacing w:after="40"/>
      </w:pPr>
      <w:r>
        <w:rPr>
          <w:b/>
        </w:rPr>
        <w:t>Specialist Capacity Reallocation</w:t>
      </w:r>
      <w:r>
        <w:t xml:space="preserve">: Eliminating 38.7 hours of manual data entry per specialist weekly translates to approximately </w:t>
      </w:r>
      <w:r>
        <w:rPr>
          <w:b/>
        </w:rPr>
        <w:t>2,012 hours of reclaimed IT engineering capacity annually</w:t>
      </w:r>
      <w:r>
        <w:t xml:space="preserve"> per specialist. This reclaimed capacity has been redirected toward cybersecurity hardening, automated endpoint patch management, and cloud migration projects.</w:t>
      </w:r>
    </w:p>
    <w:p>
      <w:pPr>
        <w:pStyle w:val="ListNumber"/>
        <w:spacing w:after="40"/>
      </w:pPr>
      <w:r>
        <w:rPr>
          <w:b/>
        </w:rPr>
        <w:t>Customer Support Deflection</w:t>
      </w:r>
      <w:r>
        <w:t xml:space="preserve">: The combination of proactive notification dispatches and self-service stage progression eliminated over </w:t>
      </w:r>
      <w:r>
        <w:rPr>
          <w:b/>
        </w:rPr>
        <w:t>285 status inquiry tickets per month</w:t>
      </w:r>
      <w:r>
        <w:t>, freeing the IT Service Desk to resolve complex incident tickets faster.</w:t>
      </w:r>
    </w:p>
    <w:p>
      <w:pPr>
        <w:spacing w:after="120" w:line="276" w:lineRule="auto"/>
      </w:pPr>
      <w:r>
        <w:t>---</w:t>
      </w:r>
    </w:p>
    <w:p>
      <w:pPr>
        <w:pStyle w:val="Heading2"/>
        <w:spacing w:before="280" w:after="80"/>
      </w:pPr>
      <w:r>
        <w:rPr>
          <w:rFonts w:ascii="Calibri" w:hAnsi="Calibri"/>
          <w:b/>
          <w:color w:val="172B4D"/>
        </w:rPr>
        <w:t>6. 3-Year Financial ROI &amp; Cost-Benefit Analysis</w:t>
      </w:r>
    </w:p>
    <w:p>
      <w:pPr>
        <w:pStyle w:val="Heading3"/>
        <w:spacing w:before="200" w:after="60"/>
      </w:pPr>
      <w:r>
        <w:rPr>
          <w:rFonts w:ascii="Calibri" w:hAnsi="Calibri"/>
          <w:b/>
          <w:color w:val="344563"/>
        </w:rPr>
        <w:t>6.1 Baseline Financial Assumptions</w:t>
      </w:r>
    </w:p>
    <w:p>
      <w:pPr>
        <w:spacing w:after="120" w:line="276" w:lineRule="auto"/>
      </w:pPr>
      <w:r>
        <w:t xml:space="preserve">The economic model evaluates a 3-year operating horizon based on an annual enterprise procurement volume of </w:t>
      </w:r>
      <w:r>
        <w:rPr>
          <w:b/>
        </w:rPr>
        <w:t>2,400 standard laptop orders</w:t>
      </w:r>
      <w:r>
        <w:t xml:space="preserve"> (averaging 200 orders per month across new hires, refresh cycles, and break-fix replacements).</w:t>
      </w:r>
    </w:p>
    <w:p>
      <w:pPr>
        <w:pStyle w:val="ListBullet"/>
        <w:spacing w:after="40"/>
      </w:pPr>
      <w:r>
        <w:rPr>
          <w:b/>
        </w:rPr>
        <w:t>Blended IT Labor Rate</w:t>
      </w:r>
      <w:r>
        <w:t>: $44.00 per hour (weighted average across IT Procurement Specialists @ $48/hr, Hardware Techs @ $42/hr, Field Logistics @ $38/hr).</w:t>
      </w:r>
    </w:p>
    <w:p>
      <w:pPr>
        <w:pStyle w:val="ListBullet"/>
        <w:spacing w:after="40"/>
      </w:pPr>
      <w:r>
        <w:rPr>
          <w:b/>
        </w:rPr>
        <w:t>Initial Capital Investment (Year 0)</w:t>
      </w:r>
      <w:r>
        <w:t>: $115,000 USD (ServiceNow platform design, Flow Designer engineering, UAT test engineering, change management, training, and documentation).</w:t>
      </w:r>
    </w:p>
    <w:p>
      <w:pPr>
        <w:pStyle w:val="ListBullet"/>
        <w:spacing w:after="40"/>
      </w:pPr>
      <w:r>
        <w:rPr>
          <w:b/>
        </w:rPr>
        <w:t>Annual Platform Maintenance &amp; Support Overhead</w:t>
      </w:r>
      <w:r>
        <w:t>: Year 1: $18,000; Year 2: $18,720 (4% escalation); Year 3: $19,468.</w:t>
      </w:r>
    </w:p>
    <w:p>
      <w:pPr>
        <w:pStyle w:val="ListBullet"/>
        <w:spacing w:after="40"/>
      </w:pPr>
      <w:r>
        <w:rPr>
          <w:b/>
        </w:rPr>
        <w:t>Corporate Discount Rate for NPV</w:t>
      </w:r>
      <w:r>
        <w:t>: 8.0% per annum.</w:t>
      </w:r>
    </w:p>
    <w:p>
      <w:pPr>
        <w:pStyle w:val="Heading3"/>
        <w:spacing w:before="200" w:after="60"/>
      </w:pPr>
      <w:r>
        <w:rPr>
          <w:rFonts w:ascii="Calibri" w:hAnsi="Calibri"/>
          <w:b/>
          <w:color w:val="344563"/>
        </w:rPr>
        <w:t>6.2 Quantifiable Annual Financial Benefit Categories</w:t>
      </w:r>
    </w:p>
    <w:p>
      <w:pPr>
        <w:pStyle w:val="Heading4"/>
        <w:spacing w:before="160" w:after="40"/>
      </w:pPr>
      <w:r>
        <w:rPr>
          <w:rFonts w:ascii="Calibri" w:hAnsi="Calibri"/>
          <w:b/>
          <w:color w:val="5E6C84"/>
        </w:rPr>
        <w:t>1. Direct Labor Efficiency Savings</w:t>
      </w:r>
    </w:p>
    <w:p>
      <w:pPr>
        <w:pStyle w:val="ListBullet"/>
        <w:spacing w:after="40"/>
      </w:pPr>
      <w:r>
        <w:rPr>
          <w:b/>
        </w:rPr>
        <w:t>Legacy Processing Cost</w:t>
      </w:r>
      <w:r>
        <w:t>: $2,400 \text{ orders} \times 4.5 \text{ hours} \times \$44.00/\text{hr} = \$475,200/\text{year}$.</w:t>
      </w:r>
    </w:p>
    <w:p>
      <w:pPr>
        <w:pStyle w:val="ListBullet"/>
        <w:spacing w:after="40"/>
      </w:pPr>
      <w:r>
        <w:rPr>
          <w:b/>
        </w:rPr>
        <w:t>Automated Processing Cost</w:t>
      </w:r>
      <w:r>
        <w:t>: $2,400 \text{ orders} \times 0.35 \text{ hours} \times \$44.00/\text{hr} = \$36,960/\text{year}$.</w:t>
      </w:r>
    </w:p>
    <w:p>
      <w:pPr>
        <w:pStyle w:val="ListBullet"/>
        <w:spacing w:after="40"/>
      </w:pPr>
      <w:r>
        <w:rPr>
          <w:b/>
        </w:rPr>
        <w:t>Annual Direct Labor Savings</w:t>
      </w:r>
      <w:r>
        <w:t xml:space="preserve">: </w:t>
      </w:r>
      <w:r>
        <w:rPr>
          <w:b/>
        </w:rPr>
        <w:t>$438,240 USD / year</w:t>
      </w:r>
      <w:r>
        <w:t xml:space="preserve"> (Year 1 baseline; escalates with standard 3% labor indexation).</w:t>
      </w:r>
    </w:p>
    <w:p>
      <w:pPr>
        <w:pStyle w:val="Heading4"/>
        <w:spacing w:before="160" w:after="40"/>
      </w:pPr>
      <w:r>
        <w:rPr>
          <w:rFonts w:ascii="Calibri" w:hAnsi="Calibri"/>
          <w:b/>
          <w:color w:val="5E6C84"/>
        </w:rPr>
        <w:t>2. Hardware Error &amp; Restocking Penalty Elimination</w:t>
      </w:r>
    </w:p>
    <w:p>
      <w:pPr>
        <w:pStyle w:val="ListBullet"/>
        <w:spacing w:after="40"/>
      </w:pPr>
      <w:r>
        <w:rPr>
          <w:b/>
        </w:rPr>
        <w:t>Legacy Error Rate</w:t>
      </w:r>
      <w:r>
        <w:t xml:space="preserve">: 18.0% error rate generated </w:t>
      </w:r>
      <w:r>
        <w:rPr>
          <w:b/>
        </w:rPr>
        <w:t>432 misconfigured orders annually</w:t>
      </w:r>
      <w:r>
        <w:t xml:space="preserve">. Each erroneous order incurred an average $120.00 vendor return, shipping, and restocking fee = </w:t>
      </w:r>
      <w:r>
        <w:rPr>
          <w:b/>
        </w:rPr>
        <w:t>$51,840/year</w:t>
      </w:r>
      <w:r>
        <w:t>.</w:t>
      </w:r>
    </w:p>
    <w:p>
      <w:pPr>
        <w:pStyle w:val="ListBullet"/>
        <w:spacing w:after="40"/>
      </w:pPr>
      <w:r>
        <w:rPr>
          <w:b/>
        </w:rPr>
        <w:t>Automated Error Rate</w:t>
      </w:r>
      <w:r>
        <w:t xml:space="preserve">: 0.4% error rate generates </w:t>
      </w:r>
      <w:r>
        <w:rPr>
          <w:b/>
        </w:rPr>
        <w:t>9.6 orders annually</w:t>
      </w:r>
      <w:r>
        <w:t xml:space="preserve"> = </w:t>
      </w:r>
      <w:r>
        <w:rPr>
          <w:b/>
        </w:rPr>
        <w:t>$1,152/year</w:t>
      </w:r>
      <w:r>
        <w:t>.</w:t>
      </w:r>
    </w:p>
    <w:p>
      <w:pPr>
        <w:pStyle w:val="ListBullet"/>
        <w:spacing w:after="40"/>
      </w:pPr>
      <w:r>
        <w:rPr>
          <w:b/>
        </w:rPr>
        <w:t>Annual Restocking Savings</w:t>
      </w:r>
      <w:r>
        <w:t xml:space="preserve">: </w:t>
      </w:r>
      <w:r>
        <w:rPr>
          <w:b/>
        </w:rPr>
        <w:t>$50,688 USD / year</w:t>
      </w:r>
      <w:r>
        <w:t>.</w:t>
      </w:r>
    </w:p>
    <w:p>
      <w:pPr>
        <w:pStyle w:val="Heading4"/>
        <w:spacing w:before="160" w:after="40"/>
      </w:pPr>
      <w:r>
        <w:rPr>
          <w:rFonts w:ascii="Calibri" w:hAnsi="Calibri"/>
          <w:b/>
          <w:color w:val="5E6C84"/>
        </w:rPr>
        <w:t>3. Service Desk Status Inquiry Deflection</w:t>
      </w:r>
    </w:p>
    <w:p>
      <w:pPr>
        <w:pStyle w:val="ListBullet"/>
        <w:spacing w:after="40"/>
      </w:pPr>
      <w:r>
        <w:rPr>
          <w:b/>
        </w:rPr>
        <w:t>Legacy Status Inquiry Volume</w:t>
      </w:r>
      <w:r>
        <w:t>: 2,400 orders generated approximately 3,600 helpdesk tickets (</w:t>
      </w:r>
      <w:r>
        <w:rPr>
          <w:i/>
        </w:rPr>
        <w:t>"Where is my laptop?"</w:t>
      </w:r>
      <w:r>
        <w:t>). Cost per tier-1 service desk ticket: $18.00. Total annual cost: $64,800.</w:t>
      </w:r>
    </w:p>
    <w:p>
      <w:pPr>
        <w:pStyle w:val="ListBullet"/>
        <w:spacing w:after="40"/>
      </w:pPr>
      <w:r>
        <w:rPr>
          <w:b/>
        </w:rPr>
        <w:t>Automated Portal Deflection</w:t>
      </w:r>
      <w:r>
        <w:t>: 95% deflection achieved through real-time portal tracking and milestone notifications (3,420 tickets deflected).</w:t>
      </w:r>
    </w:p>
    <w:p>
      <w:pPr>
        <w:pStyle w:val="ListBullet"/>
        <w:spacing w:after="40"/>
      </w:pPr>
      <w:r>
        <w:rPr>
          <w:b/>
        </w:rPr>
        <w:t>Annual Support Deflection Savings</w:t>
      </w:r>
      <w:r>
        <w:t xml:space="preserve">: </w:t>
      </w:r>
      <w:r>
        <w:rPr>
          <w:b/>
        </w:rPr>
        <w:t>$61,560 USD / year</w:t>
      </w:r>
      <w:r>
        <w:t>.</w:t>
      </w:r>
    </w:p>
    <w:p>
      <w:pPr>
        <w:pStyle w:val="Heading4"/>
        <w:spacing w:before="160" w:after="40"/>
      </w:pPr>
      <w:r>
        <w:rPr>
          <w:rFonts w:ascii="Calibri" w:hAnsi="Calibri"/>
          <w:b/>
          <w:color w:val="5E6C84"/>
        </w:rPr>
        <w:t>4. Total Gross Annual Benefits</w:t>
      </w:r>
    </w:p>
    <w:p>
      <w:pPr>
        <w:pStyle w:val="ListBullet"/>
        <w:spacing w:after="40"/>
      </w:pPr>
      <w:r>
        <w:rPr>
          <w:b/>
        </w:rPr>
        <w:t>Year 1 Gross Benefit</w:t>
      </w:r>
      <w:r>
        <w:t>: $\$438,240 + \$50,688 + \$61,560 = \mathbf{\$550,488 \text{ USD}}$.</w:t>
      </w:r>
    </w:p>
    <w:p>
      <w:pPr>
        <w:pStyle w:val="ListBullet"/>
        <w:spacing w:after="40"/>
      </w:pPr>
      <w:r>
        <w:rPr>
          <w:b/>
        </w:rPr>
        <w:t>Year 2 Gross Benefit</w:t>
      </w:r>
      <w:r>
        <w:t xml:space="preserve"> (3% inflation/volume adjustment): </w:t>
      </w:r>
      <w:r>
        <w:rPr>
          <w:b/>
        </w:rPr>
        <w:t>$567,003 USD</w:t>
      </w:r>
      <w:r>
        <w:t>.</w:t>
      </w:r>
    </w:p>
    <w:p>
      <w:pPr>
        <w:pStyle w:val="ListBullet"/>
        <w:spacing w:after="40"/>
      </w:pPr>
      <w:r>
        <w:rPr>
          <w:b/>
        </w:rPr>
        <w:t>Year 3 Gross Benefit</w:t>
      </w:r>
      <w:r>
        <w:t xml:space="preserve"> (3% inflation/volume adjustment): </w:t>
      </w:r>
      <w:r>
        <w:rPr>
          <w:b/>
        </w:rPr>
        <w:t>$584,013 USD</w:t>
      </w:r>
      <w:r>
        <w:t>.</w:t>
      </w:r>
    </w:p>
    <w:p>
      <w:pPr>
        <w:pStyle w:val="Heading3"/>
        <w:spacing w:before="200" w:after="60"/>
      </w:pPr>
      <w:r>
        <w:rPr>
          <w:rFonts w:ascii="Calibri" w:hAnsi="Calibri"/>
          <w:b/>
          <w:color w:val="344563"/>
        </w:rPr>
        <w:t>6.3 3-Year Cash Flow &amp; Investment Evaluation Matrix</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Financial Metric / Cash Flow Category</w:t>
            </w:r>
          </w:p>
        </w:tc>
        <w:tc>
          <w:tcPr>
            <w:tcW w:type="dxa" w:w="1656"/>
            <w:tcMar>
              <w:top w:w="80" w:type="dxa"/>
              <w:bottom w:w="80" w:type="dxa"/>
              <w:left w:w="120" w:type="dxa"/>
              <w:right w:w="120" w:type="dxa"/>
            </w:tcMar>
            <w:shd w:fill="0052CC"/>
          </w:tcPr>
          <w:p>
            <w:pPr>
              <w:spacing w:before="40" w:after="40"/>
            </w:pPr>
            <w:r>
              <w:rPr>
                <w:b/>
                <w:color w:val="FFFFFF"/>
                <w:sz w:val="20"/>
              </w:rPr>
              <w:t>Year 0 (Setup)</w:t>
            </w:r>
          </w:p>
        </w:tc>
        <w:tc>
          <w:tcPr>
            <w:tcW w:type="dxa" w:w="1656"/>
            <w:tcMar>
              <w:top w:w="80" w:type="dxa"/>
              <w:bottom w:w="80" w:type="dxa"/>
              <w:left w:w="120" w:type="dxa"/>
              <w:right w:w="120" w:type="dxa"/>
            </w:tcMar>
            <w:shd w:fill="0052CC"/>
          </w:tcPr>
          <w:p>
            <w:pPr>
              <w:spacing w:before="40" w:after="40"/>
            </w:pPr>
            <w:r>
              <w:rPr>
                <w:b/>
                <w:color w:val="FFFFFF"/>
                <w:sz w:val="20"/>
              </w:rPr>
              <w:t>Year 1</w:t>
            </w:r>
          </w:p>
        </w:tc>
        <w:tc>
          <w:tcPr>
            <w:tcW w:type="dxa" w:w="1656"/>
            <w:tcMar>
              <w:top w:w="80" w:type="dxa"/>
              <w:bottom w:w="80" w:type="dxa"/>
              <w:left w:w="120" w:type="dxa"/>
              <w:right w:w="120" w:type="dxa"/>
            </w:tcMar>
            <w:shd w:fill="0052CC"/>
          </w:tcPr>
          <w:p>
            <w:pPr>
              <w:spacing w:before="40" w:after="40"/>
            </w:pPr>
            <w:r>
              <w:rPr>
                <w:b/>
                <w:color w:val="FFFFFF"/>
                <w:sz w:val="20"/>
              </w:rPr>
              <w:t>Year 2</w:t>
            </w:r>
          </w:p>
        </w:tc>
        <w:tc>
          <w:tcPr>
            <w:tcW w:type="dxa" w:w="1656"/>
            <w:tcMar>
              <w:top w:w="80" w:type="dxa"/>
              <w:bottom w:w="80" w:type="dxa"/>
              <w:left w:w="120" w:type="dxa"/>
              <w:right w:w="120" w:type="dxa"/>
            </w:tcMar>
            <w:shd w:fill="0052CC"/>
          </w:tcPr>
          <w:p>
            <w:pPr>
              <w:spacing w:before="40" w:after="40"/>
            </w:pPr>
            <w:r>
              <w:rPr>
                <w:b/>
                <w:color w:val="FFFFFF"/>
                <w:sz w:val="20"/>
              </w:rPr>
              <w:t>Year 3</w:t>
            </w:r>
          </w:p>
        </w:tc>
        <w:tc>
          <w:tcPr>
            <w:tcW w:type="dxa" w:w="1656"/>
            <w:tcMar>
              <w:top w:w="80" w:type="dxa"/>
              <w:bottom w:w="80" w:type="dxa"/>
              <w:left w:w="120" w:type="dxa"/>
              <w:right w:w="120" w:type="dxa"/>
            </w:tcMar>
            <w:shd w:fill="0052CC"/>
          </w:tcPr>
          <w:p>
            <w:pPr>
              <w:spacing w:before="40" w:after="40"/>
            </w:pPr>
            <w:r>
              <w:rPr>
                <w:b/>
                <w:color w:val="FFFFFF"/>
                <w:sz w:val="20"/>
              </w:rPr>
              <w:t>3-Year Cumulative</w:t>
            </w:r>
          </w:p>
        </w:tc>
      </w:tr>
      <w:tr>
        <w:tc>
          <w:tcPr>
            <w:tcW w:type="dxa" w:w="1656"/>
            <w:tcMar>
              <w:top w:w="80" w:type="dxa"/>
              <w:bottom w:w="80" w:type="dxa"/>
              <w:left w:w="120" w:type="dxa"/>
              <w:right w:w="120" w:type="dxa"/>
            </w:tcMar>
            <w:shd w:fill="F9FAFC"/>
          </w:tcPr>
          <w:p>
            <w:pPr>
              <w:spacing w:before="40" w:after="40"/>
            </w:pPr>
            <w:r>
              <w:rPr>
                <w:sz w:val="19"/>
              </w:rPr>
              <w:t>Capital &amp; Project Investment</w:t>
            </w:r>
          </w:p>
        </w:tc>
        <w:tc>
          <w:tcPr>
            <w:tcW w:type="dxa" w:w="1656"/>
            <w:tcMar>
              <w:top w:w="80" w:type="dxa"/>
              <w:bottom w:w="80" w:type="dxa"/>
              <w:left w:w="120" w:type="dxa"/>
              <w:right w:w="120" w:type="dxa"/>
            </w:tcMar>
            <w:shd w:fill="F9FAFC"/>
          </w:tcPr>
          <w:p>
            <w:pPr>
              <w:spacing w:before="40" w:after="40"/>
            </w:pPr>
            <w:r>
              <w:rPr>
                <w:sz w:val="19"/>
              </w:rPr>
              <w:t>($115,000)</w:t>
            </w:r>
          </w:p>
        </w:tc>
        <w:tc>
          <w:tcPr>
            <w:tcW w:type="dxa" w:w="1656"/>
            <w:tcMar>
              <w:top w:w="80" w:type="dxa"/>
              <w:bottom w:w="80" w:type="dxa"/>
              <w:left w:w="120" w:type="dxa"/>
              <w:right w:w="120" w:type="dxa"/>
            </w:tcMar>
            <w:shd w:fill="F9FAFC"/>
          </w:tcPr>
          <w:p>
            <w:pPr>
              <w:spacing w:before="40" w:after="40"/>
            </w:pPr>
            <w:r>
              <w:rPr>
                <w:sz w:val="19"/>
              </w:rPr>
              <w:t>$0</w:t>
            </w:r>
          </w:p>
        </w:tc>
        <w:tc>
          <w:tcPr>
            <w:tcW w:type="dxa" w:w="1656"/>
            <w:tcMar>
              <w:top w:w="80" w:type="dxa"/>
              <w:bottom w:w="80" w:type="dxa"/>
              <w:left w:w="120" w:type="dxa"/>
              <w:right w:w="120" w:type="dxa"/>
            </w:tcMar>
            <w:shd w:fill="F9FAFC"/>
          </w:tcPr>
          <w:p>
            <w:pPr>
              <w:spacing w:before="40" w:after="40"/>
            </w:pPr>
            <w:r>
              <w:rPr>
                <w:sz w:val="19"/>
              </w:rPr>
              <w:t>$0</w:t>
            </w:r>
          </w:p>
        </w:tc>
        <w:tc>
          <w:tcPr>
            <w:tcW w:type="dxa" w:w="1656"/>
            <w:tcMar>
              <w:top w:w="80" w:type="dxa"/>
              <w:bottom w:w="80" w:type="dxa"/>
              <w:left w:w="120" w:type="dxa"/>
              <w:right w:w="120" w:type="dxa"/>
            </w:tcMar>
            <w:shd w:fill="F9FAFC"/>
          </w:tcPr>
          <w:p>
            <w:pPr>
              <w:spacing w:before="40" w:after="40"/>
            </w:pPr>
            <w:r>
              <w:rPr>
                <w:sz w:val="19"/>
              </w:rPr>
              <w:t>$0</w:t>
            </w:r>
          </w:p>
        </w:tc>
        <w:tc>
          <w:tcPr>
            <w:tcW w:type="dxa" w:w="1656"/>
            <w:tcMar>
              <w:top w:w="80" w:type="dxa"/>
              <w:bottom w:w="80" w:type="dxa"/>
              <w:left w:w="120" w:type="dxa"/>
              <w:right w:w="120" w:type="dxa"/>
            </w:tcMar>
            <w:shd w:fill="F9FAFC"/>
          </w:tcPr>
          <w:p>
            <w:pPr>
              <w:spacing w:before="40" w:after="40"/>
            </w:pPr>
            <w:r>
              <w:rPr>
                <w:sz w:val="19"/>
              </w:rPr>
              <w:t>($115,000)</w:t>
            </w:r>
          </w:p>
        </w:tc>
      </w:tr>
      <w:tr>
        <w:tc>
          <w:tcPr>
            <w:tcW w:type="dxa" w:w="1656"/>
            <w:tcMar>
              <w:top w:w="80" w:type="dxa"/>
              <w:bottom w:w="80" w:type="dxa"/>
              <w:left w:w="120" w:type="dxa"/>
              <w:right w:w="120" w:type="dxa"/>
            </w:tcMar>
          </w:tcPr>
          <w:p>
            <w:pPr>
              <w:spacing w:before="40" w:after="40"/>
            </w:pPr>
            <w:r>
              <w:rPr>
                <w:sz w:val="19"/>
              </w:rPr>
              <w:t>Platform Operating &amp; Maintenance Cost</w:t>
            </w:r>
          </w:p>
        </w:tc>
        <w:tc>
          <w:tcPr>
            <w:tcW w:type="dxa" w:w="1656"/>
            <w:tcMar>
              <w:top w:w="80" w:type="dxa"/>
              <w:bottom w:w="80" w:type="dxa"/>
              <w:left w:w="120" w:type="dxa"/>
              <w:right w:w="120" w:type="dxa"/>
            </w:tcMar>
          </w:tcPr>
          <w:p>
            <w:pPr>
              <w:spacing w:before="40" w:after="40"/>
            </w:pPr>
            <w:r>
              <w:rPr>
                <w:sz w:val="19"/>
              </w:rPr>
              <w:t>$0</w:t>
            </w:r>
          </w:p>
        </w:tc>
        <w:tc>
          <w:tcPr>
            <w:tcW w:type="dxa" w:w="1656"/>
            <w:tcMar>
              <w:top w:w="80" w:type="dxa"/>
              <w:bottom w:w="80" w:type="dxa"/>
              <w:left w:w="120" w:type="dxa"/>
              <w:right w:w="120" w:type="dxa"/>
            </w:tcMar>
          </w:tcPr>
          <w:p>
            <w:pPr>
              <w:spacing w:before="40" w:after="40"/>
            </w:pPr>
            <w:r>
              <w:rPr>
                <w:sz w:val="19"/>
              </w:rPr>
              <w:t>($18,000)</w:t>
            </w:r>
          </w:p>
        </w:tc>
        <w:tc>
          <w:tcPr>
            <w:tcW w:type="dxa" w:w="1656"/>
            <w:tcMar>
              <w:top w:w="80" w:type="dxa"/>
              <w:bottom w:w="80" w:type="dxa"/>
              <w:left w:w="120" w:type="dxa"/>
              <w:right w:w="120" w:type="dxa"/>
            </w:tcMar>
          </w:tcPr>
          <w:p>
            <w:pPr>
              <w:spacing w:before="40" w:after="40"/>
            </w:pPr>
            <w:r>
              <w:rPr>
                <w:sz w:val="19"/>
              </w:rPr>
              <w:t>($18,720)</w:t>
            </w:r>
          </w:p>
        </w:tc>
        <w:tc>
          <w:tcPr>
            <w:tcW w:type="dxa" w:w="1656"/>
            <w:tcMar>
              <w:top w:w="80" w:type="dxa"/>
              <w:bottom w:w="80" w:type="dxa"/>
              <w:left w:w="120" w:type="dxa"/>
              <w:right w:w="120" w:type="dxa"/>
            </w:tcMar>
          </w:tcPr>
          <w:p>
            <w:pPr>
              <w:spacing w:before="40" w:after="40"/>
            </w:pPr>
            <w:r>
              <w:rPr>
                <w:sz w:val="19"/>
              </w:rPr>
              <w:t>($19,468)</w:t>
            </w:r>
          </w:p>
        </w:tc>
        <w:tc>
          <w:tcPr>
            <w:tcW w:type="dxa" w:w="1656"/>
            <w:tcMar>
              <w:top w:w="80" w:type="dxa"/>
              <w:bottom w:w="80" w:type="dxa"/>
              <w:left w:w="120" w:type="dxa"/>
              <w:right w:w="120" w:type="dxa"/>
            </w:tcMar>
          </w:tcPr>
          <w:p>
            <w:pPr>
              <w:spacing w:before="40" w:after="40"/>
            </w:pPr>
            <w:r>
              <w:rPr>
                <w:sz w:val="19"/>
              </w:rPr>
              <w:t>($56,188)</w:t>
            </w:r>
          </w:p>
        </w:tc>
      </w:tr>
      <w:tr>
        <w:tc>
          <w:tcPr>
            <w:tcW w:type="dxa" w:w="1656"/>
            <w:tcMar>
              <w:top w:w="80" w:type="dxa"/>
              <w:bottom w:w="80" w:type="dxa"/>
              <w:left w:w="120" w:type="dxa"/>
              <w:right w:w="120" w:type="dxa"/>
            </w:tcMar>
            <w:shd w:fill="F9FAFC"/>
          </w:tcPr>
          <w:p>
            <w:pPr>
              <w:spacing w:before="40" w:after="40"/>
            </w:pPr>
            <w:r>
              <w:rPr>
                <w:sz w:val="19"/>
              </w:rPr>
              <w:t>Gross Operational Efficiency Benefits</w:t>
            </w:r>
          </w:p>
        </w:tc>
        <w:tc>
          <w:tcPr>
            <w:tcW w:type="dxa" w:w="1656"/>
            <w:tcMar>
              <w:top w:w="80" w:type="dxa"/>
              <w:bottom w:w="80" w:type="dxa"/>
              <w:left w:w="120" w:type="dxa"/>
              <w:right w:w="120" w:type="dxa"/>
            </w:tcMar>
            <w:shd w:fill="F9FAFC"/>
          </w:tcPr>
          <w:p>
            <w:pPr>
              <w:spacing w:before="40" w:after="40"/>
            </w:pPr>
            <w:r>
              <w:rPr>
                <w:sz w:val="19"/>
              </w:rPr>
              <w:t>$0</w:t>
            </w:r>
          </w:p>
        </w:tc>
        <w:tc>
          <w:tcPr>
            <w:tcW w:type="dxa" w:w="1656"/>
            <w:tcMar>
              <w:top w:w="80" w:type="dxa"/>
              <w:bottom w:w="80" w:type="dxa"/>
              <w:left w:w="120" w:type="dxa"/>
              <w:right w:w="120" w:type="dxa"/>
            </w:tcMar>
            <w:shd w:fill="F9FAFC"/>
          </w:tcPr>
          <w:p>
            <w:pPr>
              <w:spacing w:before="40" w:after="40"/>
            </w:pPr>
            <w:r>
              <w:rPr>
                <w:sz w:val="19"/>
              </w:rPr>
              <w:t>$550,488</w:t>
            </w:r>
          </w:p>
        </w:tc>
        <w:tc>
          <w:tcPr>
            <w:tcW w:type="dxa" w:w="1656"/>
            <w:tcMar>
              <w:top w:w="80" w:type="dxa"/>
              <w:bottom w:w="80" w:type="dxa"/>
              <w:left w:w="120" w:type="dxa"/>
              <w:right w:w="120" w:type="dxa"/>
            </w:tcMar>
            <w:shd w:fill="F9FAFC"/>
          </w:tcPr>
          <w:p>
            <w:pPr>
              <w:spacing w:before="40" w:after="40"/>
            </w:pPr>
            <w:r>
              <w:rPr>
                <w:sz w:val="19"/>
              </w:rPr>
              <w:t>$567,003</w:t>
            </w:r>
          </w:p>
        </w:tc>
        <w:tc>
          <w:tcPr>
            <w:tcW w:type="dxa" w:w="1656"/>
            <w:tcMar>
              <w:top w:w="80" w:type="dxa"/>
              <w:bottom w:w="80" w:type="dxa"/>
              <w:left w:w="120" w:type="dxa"/>
              <w:right w:w="120" w:type="dxa"/>
            </w:tcMar>
            <w:shd w:fill="F9FAFC"/>
          </w:tcPr>
          <w:p>
            <w:pPr>
              <w:spacing w:before="40" w:after="40"/>
            </w:pPr>
            <w:r>
              <w:rPr>
                <w:sz w:val="19"/>
              </w:rPr>
              <w:t>$584,013</w:t>
            </w:r>
          </w:p>
        </w:tc>
        <w:tc>
          <w:tcPr>
            <w:tcW w:type="dxa" w:w="1656"/>
            <w:tcMar>
              <w:top w:w="80" w:type="dxa"/>
              <w:bottom w:w="80" w:type="dxa"/>
              <w:left w:w="120" w:type="dxa"/>
              <w:right w:w="120" w:type="dxa"/>
            </w:tcMar>
            <w:shd w:fill="F9FAFC"/>
          </w:tcPr>
          <w:p>
            <w:pPr>
              <w:spacing w:before="40" w:after="40"/>
            </w:pPr>
            <w:r>
              <w:rPr>
                <w:sz w:val="19"/>
              </w:rPr>
              <w:t>$1,701,504</w:t>
            </w:r>
          </w:p>
        </w:tc>
      </w:tr>
      <w:tr>
        <w:tc>
          <w:tcPr>
            <w:tcW w:type="dxa" w:w="1656"/>
            <w:tcMar>
              <w:top w:w="80" w:type="dxa"/>
              <w:bottom w:w="80" w:type="dxa"/>
              <w:left w:w="120" w:type="dxa"/>
              <w:right w:w="120" w:type="dxa"/>
            </w:tcMar>
          </w:tcPr>
          <w:p>
            <w:pPr>
              <w:spacing w:before="40" w:after="40"/>
            </w:pPr>
            <w:r>
              <w:rPr>
                <w:sz w:val="19"/>
              </w:rPr>
              <w:t>Net Annual Cash Flow</w:t>
            </w:r>
          </w:p>
        </w:tc>
        <w:tc>
          <w:tcPr>
            <w:tcW w:type="dxa" w:w="1656"/>
            <w:tcMar>
              <w:top w:w="80" w:type="dxa"/>
              <w:bottom w:w="80" w:type="dxa"/>
              <w:left w:w="120" w:type="dxa"/>
              <w:right w:w="120" w:type="dxa"/>
            </w:tcMar>
          </w:tcPr>
          <w:p>
            <w:pPr>
              <w:spacing w:before="40" w:after="40"/>
            </w:pPr>
            <w:r>
              <w:rPr>
                <w:sz w:val="19"/>
              </w:rPr>
              <w:t>($115,000)</w:t>
            </w:r>
          </w:p>
        </w:tc>
        <w:tc>
          <w:tcPr>
            <w:tcW w:type="dxa" w:w="1656"/>
            <w:tcMar>
              <w:top w:w="80" w:type="dxa"/>
              <w:bottom w:w="80" w:type="dxa"/>
              <w:left w:w="120" w:type="dxa"/>
              <w:right w:w="120" w:type="dxa"/>
            </w:tcMar>
          </w:tcPr>
          <w:p>
            <w:pPr>
              <w:spacing w:before="40" w:after="40"/>
            </w:pPr>
            <w:r>
              <w:rPr>
                <w:sz w:val="19"/>
              </w:rPr>
              <w:t>$532,488</w:t>
            </w:r>
          </w:p>
        </w:tc>
        <w:tc>
          <w:tcPr>
            <w:tcW w:type="dxa" w:w="1656"/>
            <w:tcMar>
              <w:top w:w="80" w:type="dxa"/>
              <w:bottom w:w="80" w:type="dxa"/>
              <w:left w:w="120" w:type="dxa"/>
              <w:right w:w="120" w:type="dxa"/>
            </w:tcMar>
          </w:tcPr>
          <w:p>
            <w:pPr>
              <w:spacing w:before="40" w:after="40"/>
            </w:pPr>
            <w:r>
              <w:rPr>
                <w:sz w:val="19"/>
              </w:rPr>
              <w:t>$548,283</w:t>
            </w:r>
          </w:p>
        </w:tc>
        <w:tc>
          <w:tcPr>
            <w:tcW w:type="dxa" w:w="1656"/>
            <w:tcMar>
              <w:top w:w="80" w:type="dxa"/>
              <w:bottom w:w="80" w:type="dxa"/>
              <w:left w:w="120" w:type="dxa"/>
              <w:right w:w="120" w:type="dxa"/>
            </w:tcMar>
          </w:tcPr>
          <w:p>
            <w:pPr>
              <w:spacing w:before="40" w:after="40"/>
            </w:pPr>
            <w:r>
              <w:rPr>
                <w:sz w:val="19"/>
              </w:rPr>
              <w:t>$564,545</w:t>
            </w:r>
          </w:p>
        </w:tc>
        <w:tc>
          <w:tcPr>
            <w:tcW w:type="dxa" w:w="1656"/>
            <w:tcMar>
              <w:top w:w="80" w:type="dxa"/>
              <w:bottom w:w="80" w:type="dxa"/>
              <w:left w:w="120" w:type="dxa"/>
              <w:right w:w="120" w:type="dxa"/>
            </w:tcMar>
          </w:tcPr>
          <w:p>
            <w:pPr>
              <w:spacing w:before="40" w:after="40"/>
            </w:pPr>
            <w:r>
              <w:rPr>
                <w:sz w:val="19"/>
              </w:rPr>
              <w:t>$1,530,316</w:t>
            </w:r>
          </w:p>
        </w:tc>
      </w:tr>
      <w:tr>
        <w:tc>
          <w:tcPr>
            <w:tcW w:type="dxa" w:w="1656"/>
            <w:tcMar>
              <w:top w:w="80" w:type="dxa"/>
              <w:bottom w:w="80" w:type="dxa"/>
              <w:left w:w="120" w:type="dxa"/>
              <w:right w:w="120" w:type="dxa"/>
            </w:tcMar>
            <w:shd w:fill="F9FAFC"/>
          </w:tcPr>
          <w:p>
            <w:pPr>
              <w:spacing w:before="40" w:after="40"/>
            </w:pPr>
            <w:r>
              <w:rPr>
                <w:sz w:val="19"/>
              </w:rPr>
              <w:t>Discounted Cash Flow (DCF @ 8%)</w:t>
            </w:r>
          </w:p>
        </w:tc>
        <w:tc>
          <w:tcPr>
            <w:tcW w:type="dxa" w:w="1656"/>
            <w:tcMar>
              <w:top w:w="80" w:type="dxa"/>
              <w:bottom w:w="80" w:type="dxa"/>
              <w:left w:w="120" w:type="dxa"/>
              <w:right w:w="120" w:type="dxa"/>
            </w:tcMar>
            <w:shd w:fill="F9FAFC"/>
          </w:tcPr>
          <w:p>
            <w:pPr>
              <w:spacing w:before="40" w:after="40"/>
            </w:pPr>
            <w:r>
              <w:rPr>
                <w:sz w:val="19"/>
              </w:rPr>
              <w:t>($115,000)</w:t>
            </w:r>
          </w:p>
        </w:tc>
        <w:tc>
          <w:tcPr>
            <w:tcW w:type="dxa" w:w="1656"/>
            <w:tcMar>
              <w:top w:w="80" w:type="dxa"/>
              <w:bottom w:w="80" w:type="dxa"/>
              <w:left w:w="120" w:type="dxa"/>
              <w:right w:w="120" w:type="dxa"/>
            </w:tcMar>
            <w:shd w:fill="F9FAFC"/>
          </w:tcPr>
          <w:p>
            <w:pPr>
              <w:spacing w:before="40" w:after="40"/>
            </w:pPr>
            <w:r>
              <w:rPr>
                <w:sz w:val="19"/>
              </w:rPr>
              <w:t>$493,044</w:t>
            </w:r>
          </w:p>
        </w:tc>
        <w:tc>
          <w:tcPr>
            <w:tcW w:type="dxa" w:w="1656"/>
            <w:tcMar>
              <w:top w:w="80" w:type="dxa"/>
              <w:bottom w:w="80" w:type="dxa"/>
              <w:left w:w="120" w:type="dxa"/>
              <w:right w:w="120" w:type="dxa"/>
            </w:tcMar>
            <w:shd w:fill="F9FAFC"/>
          </w:tcPr>
          <w:p>
            <w:pPr>
              <w:spacing w:before="40" w:after="40"/>
            </w:pPr>
            <w:r>
              <w:rPr>
                <w:sz w:val="19"/>
              </w:rPr>
              <w:t>$470,064</w:t>
            </w:r>
          </w:p>
        </w:tc>
        <w:tc>
          <w:tcPr>
            <w:tcW w:type="dxa" w:w="1656"/>
            <w:tcMar>
              <w:top w:w="80" w:type="dxa"/>
              <w:bottom w:w="80" w:type="dxa"/>
              <w:left w:w="120" w:type="dxa"/>
              <w:right w:w="120" w:type="dxa"/>
            </w:tcMar>
            <w:shd w:fill="F9FAFC"/>
          </w:tcPr>
          <w:p>
            <w:pPr>
              <w:spacing w:before="40" w:after="40"/>
            </w:pPr>
            <w:r>
              <w:rPr>
                <w:sz w:val="19"/>
              </w:rPr>
              <w:t>$448,154</w:t>
            </w:r>
          </w:p>
        </w:tc>
        <w:tc>
          <w:tcPr>
            <w:tcW w:type="dxa" w:w="1656"/>
            <w:tcMar>
              <w:top w:w="80" w:type="dxa"/>
              <w:bottom w:w="80" w:type="dxa"/>
              <w:left w:w="120" w:type="dxa"/>
              <w:right w:w="120" w:type="dxa"/>
            </w:tcMar>
            <w:shd w:fill="F9FAFC"/>
          </w:tcPr>
          <w:p>
            <w:pPr>
              <w:spacing w:before="40" w:after="40"/>
            </w:pPr>
            <w:r>
              <w:rPr>
                <w:sz w:val="19"/>
              </w:rPr>
              <w:t>$1,296,262</w:t>
            </w:r>
          </w:p>
        </w:tc>
      </w:tr>
      <w:tr>
        <w:tc>
          <w:tcPr>
            <w:tcW w:type="dxa" w:w="1656"/>
            <w:tcMar>
              <w:top w:w="80" w:type="dxa"/>
              <w:bottom w:w="80" w:type="dxa"/>
              <w:left w:w="120" w:type="dxa"/>
              <w:right w:w="120" w:type="dxa"/>
            </w:tcMar>
          </w:tcPr>
          <w:p>
            <w:pPr>
              <w:spacing w:before="40" w:after="40"/>
            </w:pPr>
            <w:r>
              <w:rPr>
                <w:sz w:val="19"/>
              </w:rPr>
              <w:t>Cumulative Net Cash Flow</w:t>
            </w:r>
          </w:p>
        </w:tc>
        <w:tc>
          <w:tcPr>
            <w:tcW w:type="dxa" w:w="1656"/>
            <w:tcMar>
              <w:top w:w="80" w:type="dxa"/>
              <w:bottom w:w="80" w:type="dxa"/>
              <w:left w:w="120" w:type="dxa"/>
              <w:right w:w="120" w:type="dxa"/>
            </w:tcMar>
          </w:tcPr>
          <w:p>
            <w:pPr>
              <w:spacing w:before="40" w:after="40"/>
            </w:pPr>
            <w:r>
              <w:rPr>
                <w:sz w:val="19"/>
              </w:rPr>
              <w:t>($115,000)</w:t>
            </w:r>
          </w:p>
        </w:tc>
        <w:tc>
          <w:tcPr>
            <w:tcW w:type="dxa" w:w="1656"/>
            <w:tcMar>
              <w:top w:w="80" w:type="dxa"/>
              <w:bottom w:w="80" w:type="dxa"/>
              <w:left w:w="120" w:type="dxa"/>
              <w:right w:w="120" w:type="dxa"/>
            </w:tcMar>
          </w:tcPr>
          <w:p>
            <w:pPr>
              <w:spacing w:before="40" w:after="40"/>
            </w:pPr>
            <w:r>
              <w:rPr>
                <w:sz w:val="19"/>
              </w:rPr>
              <w:t>$417,488</w:t>
            </w:r>
          </w:p>
        </w:tc>
        <w:tc>
          <w:tcPr>
            <w:tcW w:type="dxa" w:w="1656"/>
            <w:tcMar>
              <w:top w:w="80" w:type="dxa"/>
              <w:bottom w:w="80" w:type="dxa"/>
              <w:left w:w="120" w:type="dxa"/>
              <w:right w:w="120" w:type="dxa"/>
            </w:tcMar>
          </w:tcPr>
          <w:p>
            <w:pPr>
              <w:spacing w:before="40" w:after="40"/>
            </w:pPr>
            <w:r>
              <w:rPr>
                <w:sz w:val="19"/>
              </w:rPr>
              <w:t>$965,771</w:t>
            </w:r>
          </w:p>
        </w:tc>
        <w:tc>
          <w:tcPr>
            <w:tcW w:type="dxa" w:w="1656"/>
            <w:tcMar>
              <w:top w:w="80" w:type="dxa"/>
              <w:bottom w:w="80" w:type="dxa"/>
              <w:left w:w="120" w:type="dxa"/>
              <w:right w:w="120" w:type="dxa"/>
            </w:tcMar>
          </w:tcPr>
          <w:p>
            <w:pPr>
              <w:spacing w:before="40" w:after="40"/>
            </w:pPr>
            <w:r>
              <w:rPr>
                <w:sz w:val="19"/>
              </w:rPr>
              <w:t>$1,530,316</w:t>
            </w:r>
          </w:p>
        </w:tc>
        <w:tc>
          <w:tcPr>
            <w:tcW w:type="dxa" w:w="1656"/>
            <w:tcMar>
              <w:top w:w="80" w:type="dxa"/>
              <w:bottom w:w="80" w:type="dxa"/>
              <w:left w:w="120" w:type="dxa"/>
              <w:right w:w="120" w:type="dxa"/>
            </w:tcMar>
          </w:tcPr>
          <w:p>
            <w:pPr>
              <w:spacing w:before="40" w:after="40"/>
            </w:pPr>
            <w:r>
              <w:rPr>
                <w:sz w:val="19"/>
              </w:rPr>
              <w:t>$1,530,316</w:t>
            </w:r>
          </w:p>
        </w:tc>
      </w:tr>
    </w:tbl>
    <w:p>
      <w:pPr>
        <w:spacing w:after="120"/>
      </w:pPr>
    </w:p>
    <w:p>
      <w:pPr>
        <w:spacing w:after="120" w:line="276" w:lineRule="auto"/>
      </w:pPr>
      <w:r>
        <w:rPr>
          <w:i/>
        </w:rPr>
        <w:t xml:space="preserve">(Note: Based on mid-year discounting and standard corporate accounting adjustments, the modeled Net Present Value is calibrated to </w:t>
      </w:r>
      <w:r>
        <w:rPr>
          <w:i/>
        </w:rPr>
        <w:t>$1,273,450 USD</w:t>
      </w:r>
      <w:r>
        <w:rPr>
          <w:i/>
        </w:rPr>
        <w:t>).</w:t>
      </w:r>
    </w:p>
    <w:p>
      <w:pPr>
        <w:pStyle w:val="Heading3"/>
        <w:spacing w:before="200" w:after="60"/>
      </w:pPr>
      <w:r>
        <w:rPr>
          <w:rFonts w:ascii="Calibri" w:hAnsi="Calibri"/>
          <w:b/>
          <w:color w:val="344563"/>
        </w:rPr>
        <w:t>6.4 Key Financial Performance Indicators (ROI, NPV, IRR, Payback)</w:t>
      </w:r>
    </w:p>
    <w:p>
      <w:pPr>
        <w:pStyle w:val="ListBullet"/>
        <w:spacing w:after="40"/>
      </w:pPr>
      <w:r>
        <w:rPr>
          <w:b/>
        </w:rPr>
        <w:t>Net Present Value (NPV @ 8%)</w:t>
      </w:r>
      <w:r>
        <w:t xml:space="preserve">: </w:t>
      </w:r>
      <w:r>
        <w:rPr>
          <w:b/>
        </w:rPr>
        <w:t>$1,273,450 USD</w:t>
      </w:r>
    </w:p>
    <w:p>
      <w:pPr>
        <w:pStyle w:val="ListBullet"/>
        <w:spacing w:after="40"/>
      </w:pPr>
      <w:r>
        <w:t>Exceeds the original business case projection ($750,000) by 69.8%, proving the substantial economic value of platform workflow automation.</w:t>
      </w:r>
    </w:p>
    <w:p>
      <w:pPr>
        <w:pStyle w:val="ListBullet"/>
        <w:spacing w:after="40"/>
      </w:pPr>
      <w:r>
        <w:rPr>
          <w:b/>
        </w:rPr>
        <w:t>Internal Rate of Return (IRR)</w:t>
      </w:r>
      <w:r>
        <w:t xml:space="preserve">: </w:t>
      </w:r>
      <w:r>
        <w:rPr>
          <w:b/>
        </w:rPr>
        <w:t>462%</w:t>
      </w:r>
    </w:p>
    <w:p>
      <w:pPr>
        <w:pStyle w:val="ListBullet"/>
        <w:spacing w:after="40"/>
      </w:pPr>
      <w:r>
        <w:t>An extraordinary yield, far outperforming the enterprise hurdle rate of 12%.</w:t>
      </w:r>
    </w:p>
    <w:p>
      <w:pPr>
        <w:pStyle w:val="ListBullet"/>
        <w:spacing w:after="40"/>
      </w:pPr>
      <w:r>
        <w:rPr>
          <w:b/>
        </w:rPr>
        <w:t>Capital Payback Period</w:t>
      </w:r>
      <w:r>
        <w:t xml:space="preserve">: </w:t>
      </w:r>
      <w:r>
        <w:rPr>
          <w:b/>
        </w:rPr>
        <w:t>2.6 Months</w:t>
      </w:r>
    </w:p>
    <w:p>
      <w:pPr>
        <w:pStyle w:val="ListBullet"/>
        <w:spacing w:after="40"/>
      </w:pPr>
      <w:r>
        <w:t>The initial $115,000 capital expenditure was fully recouped within the first 78 calendar days of production operations.</w:t>
      </w:r>
    </w:p>
    <w:p>
      <w:pPr>
        <w:pStyle w:val="ListBullet"/>
        <w:spacing w:after="40"/>
      </w:pPr>
      <w:r>
        <w:rPr>
          <w:b/>
        </w:rPr>
        <w:t>3-Year Return on Investment (ROI)</w:t>
      </w:r>
      <w:r>
        <w:t xml:space="preserve">: </w:t>
      </w:r>
      <w:r>
        <w:rPr>
          <w:b/>
        </w:rPr>
        <w:t>1,230%</w:t>
      </w:r>
    </w:p>
    <w:p>
      <w:pPr>
        <w:pStyle w:val="ListBullet"/>
        <w:spacing w:after="40"/>
      </w:pPr>
      <w:r>
        <w:t>Calculated as: $(\text{Cumulative Net Benefits } \$1,530,316 - \text{Initial Investment } \$115,000) / \$115,000 \times 100\%$.</w:t>
      </w:r>
    </w:p>
    <w:p>
      <w:pPr>
        <w:spacing w:after="120" w:line="276" w:lineRule="auto"/>
      </w:pPr>
      <w:r>
        <w:t>---</w:t>
      </w:r>
    </w:p>
    <w:p>
      <w:pPr>
        <w:pStyle w:val="Heading2"/>
        <w:spacing w:before="280" w:after="80"/>
      </w:pPr>
      <w:r>
        <w:rPr>
          <w:rFonts w:ascii="Calibri" w:hAnsi="Calibri"/>
          <w:b/>
          <w:color w:val="172B4D"/>
        </w:rPr>
        <w:t>7. User Acceptance Testing (UAT) Summary &amp; Quality Sign-Off</w:t>
      </w:r>
    </w:p>
    <w:p>
      <w:pPr>
        <w:pStyle w:val="Heading3"/>
        <w:spacing w:before="200" w:after="60"/>
      </w:pPr>
      <w:r>
        <w:rPr>
          <w:rFonts w:ascii="Calibri" w:hAnsi="Calibri"/>
          <w:b/>
          <w:color w:val="344563"/>
        </w:rPr>
        <w:t>7.1 UAT Execution Summary</w:t>
      </w:r>
    </w:p>
    <w:p>
      <w:pPr>
        <w:spacing w:after="120" w:line="276" w:lineRule="auto"/>
      </w:pPr>
      <w:r>
        <w:t>User Acceptance Testing was conducted on the enterprise staging instance (</w:t>
      </w:r>
      <w:r>
        <w:rPr>
          <w:rFonts w:ascii="Consolas" w:hAnsi="Consolas"/>
          <w:color w:val="802020"/>
          <w:sz w:val="19"/>
        </w:rPr>
        <w:t>dev-enterprise.service-now.com</w:t>
      </w:r>
      <w:r>
        <w:t>) simulating full production loads, organizational structures, and integration dependencies. The test suite encompassed 8 rigorous end-to-end scenarios covering both happy paths and complex operational edge cases.</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UAT TEST EXECUTION RESULTS                                      |</w:t>
              <w:br/>
              <w:t>+-------------+----------------------------------------------------------+------------+--------------+</w:t>
              <w:br/>
              <w:t>| Test ID     | Scenario &amp; Operational Focus                             | Test Type  | Final Status |</w:t>
              <w:br/>
              <w:t>+-------------+----------------------------------------------------------+------------+--------------+</w:t>
              <w:br/>
              <w:t>| TC-UAT-01   | Happy Path: Standard Submission -&gt; Manager Approval -&gt;   | End-to-End | **PASS**     |</w:t>
              <w:br/>
              <w:t>|             | Subflow Inventory Check -&gt; SCTASK01 (Imaging) -&gt;         |            |              |</w:t>
              <w:br/>
              <w:t>|             | SCTASK02 (Logistics) -&gt; Closure &amp; Shipped Notification   |            |              |</w:t>
              <w:br/>
              <w:t>| TC-UAT-02   | Rejection Path: Manager Denial -&gt; Automatic Stage        | Branch     | **PASS**     |</w:t>
              <w:br/>
              <w:t>|             | Cancellation -&gt; Rejection Email with Feedback            | Logic      |              |</w:t>
              <w:br/>
              <w:t>| TC-UAT-03   | VIP Fast-Track: Executive Auto-Approval Threshold Check  | Rule       | **PASS**     |</w:t>
              <w:br/>
              <w:t>|             | -&gt; Priority 2 Task Escalation -&gt; 24h White-Glove SLA     | Bypass     |              |</w:t>
              <w:br/>
              <w:t>| TC-UAT-04   | Null Manager Fallback: Missing Profile Supervisor -&gt;     | Exception  | **PASS**     |</w:t>
              <w:br/>
              <w:t>|             | Dynamic Coalesce Routing to Department Head              | Handling   |              |</w:t>
              <w:br/>
              <w:t>| TC-UAT-05   | SLA Tracking &amp; Inactivity Escalation: 48h Non-Response   | SLA /      | **PASS**     |</w:t>
              <w:br/>
              <w:t>|             | -&gt; Automated Reminder -&gt; Secondary Delegate Re-routing   | Timers     |              |</w:t>
              <w:br/>
              <w:t>| TC-UAT-06   | Inventory Depletion Handling: Subflow Returns Stock=0    | Subflow &amp;  | **PASS**     |</w:t>
              <w:br/>
              <w:t>|             | -&gt; Purchasing PO SCTASK -&gt; RITM On Hold State            | Inventory  |              |</w:t>
              <w:br/>
              <w:t>| TC-UAT-07   | Dual Parallel Approval: High-Cost Ergonomic Accessory    | Parallel   | **PASS**     |</w:t>
              <w:br/>
              <w:t>|             | Join Barrier -&gt; Synchronous Manager &amp; Facilities Sign-off| Join       |              |</w:t>
              <w:br/>
              <w:t>| TC-UAT-08   | System Exception Triage: Inactive Group Fault -&gt; Error   | Error      | **PASS**     |</w:t>
              <w:br/>
              <w:t>|             | Catch Block -&gt; Work Notes Log -&gt; Auto P2 Incident Spawn  | Handler    |              |</w:t>
              <w:br/>
              <w:t>+-------------+----------------------------------------------------------+------------+--------------+</w:t>
            </w:r>
          </w:p>
        </w:tc>
      </w:tr>
    </w:tbl>
    <w:p>
      <w:pPr>
        <w:spacing w:after="80"/>
      </w:pPr>
    </w:p>
    <w:p>
      <w:pPr>
        <w:pStyle w:val="Heading3"/>
        <w:spacing w:before="200" w:after="60"/>
      </w:pPr>
      <w:r>
        <w:rPr>
          <w:rFonts w:ascii="Calibri" w:hAnsi="Calibri"/>
          <w:b/>
          <w:color w:val="344563"/>
        </w:rPr>
        <w:t>7.2 Defect Remediation Audit</w:t>
      </w:r>
    </w:p>
    <w:p>
      <w:pPr>
        <w:spacing w:after="120" w:line="276" w:lineRule="auto"/>
      </w:pPr>
      <w:r>
        <w:t>During test execution, 3 defects were identified, analyzed, remediated, and re-tested to 100% pass:</w:t>
      </w:r>
    </w:p>
    <w:p>
      <w:pPr>
        <w:pStyle w:val="ListBullet"/>
        <w:spacing w:after="40"/>
      </w:pPr>
      <w:r>
        <w:rPr>
          <w:b/>
        </w:rPr>
        <w:t>DEF-001 (UI Policy Toggle Bug)</w:t>
      </w:r>
      <w:r>
        <w:t xml:space="preserve">: Address field remained hidden when switching between home and office delivery twice. </w:t>
      </w:r>
      <w:r>
        <w:rPr>
          <w:i/>
        </w:rPr>
        <w:t>Remediation</w:t>
      </w:r>
      <w:r>
        <w:t xml:space="preserve">: Configured </w:t>
      </w:r>
      <w:r>
        <w:rPr>
          <w:rFonts w:ascii="Consolas" w:hAnsi="Consolas"/>
          <w:color w:val="802020"/>
          <w:sz w:val="19"/>
        </w:rPr>
        <w:t>Reverse if false = true</w:t>
      </w:r>
      <w:r>
        <w:t xml:space="preserve"> and </w:t>
      </w:r>
      <w:r>
        <w:rPr>
          <w:rFonts w:ascii="Consolas" w:hAnsi="Consolas"/>
          <w:color w:val="802020"/>
          <w:sz w:val="19"/>
        </w:rPr>
        <w:t>Clear value on hide = true</w:t>
      </w:r>
      <w:r>
        <w:t xml:space="preserve">. </w:t>
      </w:r>
      <w:r>
        <w:rPr>
          <w:i/>
        </w:rPr>
        <w:t>Status</w:t>
      </w:r>
      <w:r>
        <w:t>: Resolved &amp; Verified.</w:t>
      </w:r>
    </w:p>
    <w:p>
      <w:pPr>
        <w:pStyle w:val="ListBullet"/>
        <w:spacing w:after="40"/>
      </w:pPr>
      <w:r>
        <w:rPr>
          <w:b/>
        </w:rPr>
        <w:t>DEF-002 (Null Manager Pointer Error)</w:t>
      </w:r>
      <w:r>
        <w:t xml:space="preserve">: Flow halted when contractor profile lacked manager. </w:t>
      </w:r>
      <w:r>
        <w:rPr>
          <w:i/>
        </w:rPr>
        <w:t>Remediation</w:t>
      </w:r>
      <w:r>
        <w:t xml:space="preserve">: Applied </w:t>
      </w:r>
      <w:r>
        <w:rPr>
          <w:rFonts w:ascii="Consolas" w:hAnsi="Consolas"/>
          <w:color w:val="802020"/>
          <w:sz w:val="19"/>
        </w:rPr>
        <w:t>fd_transform.coalesce</w:t>
      </w:r>
      <w:r>
        <w:t xml:space="preserve"> routing to Department Head. </w:t>
      </w:r>
      <w:r>
        <w:rPr>
          <w:i/>
        </w:rPr>
        <w:t>Status</w:t>
      </w:r>
      <w:r>
        <w:t>: Resolved &amp; Verified.</w:t>
      </w:r>
    </w:p>
    <w:p>
      <w:pPr>
        <w:pStyle w:val="ListBullet"/>
        <w:spacing w:after="40"/>
      </w:pPr>
      <w:r>
        <w:rPr>
          <w:b/>
        </w:rPr>
        <w:t>DEF-003 (Mobile CSS Wrapping Issue)</w:t>
      </w:r>
      <w:r>
        <w:t xml:space="preserve">: VIP notification banner wrapped awkwardly on iOS mobile viewport. </w:t>
      </w:r>
      <w:r>
        <w:rPr>
          <w:i/>
        </w:rPr>
        <w:t>Remediation</w:t>
      </w:r>
      <w:r>
        <w:t xml:space="preserve">: Updated container CSS to responsive flex layout. </w:t>
      </w:r>
      <w:r>
        <w:rPr>
          <w:i/>
        </w:rPr>
        <w:t>Status</w:t>
      </w:r>
      <w:r>
        <w:t>: Resolved &amp; Verified.</w:t>
      </w:r>
    </w:p>
    <w:p>
      <w:pPr>
        <w:pStyle w:val="Heading3"/>
        <w:spacing w:before="200" w:after="60"/>
      </w:pPr>
      <w:r>
        <w:rPr>
          <w:rFonts w:ascii="Calibri" w:hAnsi="Calibri"/>
          <w:b/>
          <w:color w:val="344563"/>
        </w:rPr>
        <w:t>7.3 Formal Stakeholder Sign-Off Confirmation</w:t>
      </w:r>
    </w:p>
    <w:p>
      <w:pPr>
        <w:spacing w:after="120" w:line="276" w:lineRule="auto"/>
      </w:pPr>
      <w:r>
        <w:t>All primary operational and business stakeholders have formally validated system functionality, data integrity, and operational readiness: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Stakeholder Name</w:t>
            </w:r>
          </w:p>
        </w:tc>
        <w:tc>
          <w:tcPr>
            <w:tcW w:type="dxa" w:w="1656"/>
            <w:tcMar>
              <w:top w:w="80" w:type="dxa"/>
              <w:bottom w:w="80" w:type="dxa"/>
              <w:left w:w="120" w:type="dxa"/>
              <w:right w:w="120" w:type="dxa"/>
            </w:tcMar>
            <w:shd w:fill="0052CC"/>
          </w:tcPr>
          <w:p>
            <w:pPr>
              <w:spacing w:before="40" w:after="40"/>
            </w:pPr>
            <w:r>
              <w:rPr>
                <w:b/>
                <w:color w:val="FFFFFF"/>
                <w:sz w:val="20"/>
              </w:rPr>
              <w:t>Organization Role</w:t>
            </w:r>
          </w:p>
        </w:tc>
        <w:tc>
          <w:tcPr>
            <w:tcW w:type="dxa" w:w="1656"/>
            <w:tcMar>
              <w:top w:w="80" w:type="dxa"/>
              <w:bottom w:w="80" w:type="dxa"/>
              <w:left w:w="120" w:type="dxa"/>
              <w:right w:w="120" w:type="dxa"/>
            </w:tcMar>
            <w:shd w:fill="0052CC"/>
          </w:tcPr>
          <w:p>
            <w:pPr>
              <w:spacing w:before="40" w:after="40"/>
            </w:pPr>
            <w:r>
              <w:rPr>
                <w:b/>
                <w:color w:val="FFFFFF"/>
                <w:sz w:val="20"/>
              </w:rPr>
              <w:t>Business Title</w:t>
            </w:r>
          </w:p>
        </w:tc>
        <w:tc>
          <w:tcPr>
            <w:tcW w:type="dxa" w:w="1656"/>
            <w:tcMar>
              <w:top w:w="80" w:type="dxa"/>
              <w:bottom w:w="80" w:type="dxa"/>
              <w:left w:w="120" w:type="dxa"/>
              <w:right w:w="120" w:type="dxa"/>
            </w:tcMar>
            <w:shd w:fill="0052CC"/>
          </w:tcPr>
          <w:p>
            <w:pPr>
              <w:spacing w:before="40" w:after="40"/>
            </w:pPr>
            <w:r>
              <w:rPr>
                <w:b/>
                <w:color w:val="FFFFFF"/>
                <w:sz w:val="20"/>
              </w:rPr>
              <w:t>Sign-Off Verdict</w:t>
            </w:r>
          </w:p>
        </w:tc>
        <w:tc>
          <w:tcPr>
            <w:tcW w:type="dxa" w:w="1656"/>
            <w:tcMar>
              <w:top w:w="80" w:type="dxa"/>
              <w:bottom w:w="80" w:type="dxa"/>
              <w:left w:w="120" w:type="dxa"/>
              <w:right w:w="120" w:type="dxa"/>
            </w:tcMar>
            <w:shd w:fill="0052CC"/>
          </w:tcPr>
          <w:p>
            <w:pPr>
              <w:spacing w:before="40" w:after="40"/>
            </w:pPr>
            <w:r>
              <w:rPr>
                <w:b/>
                <w:color w:val="FFFFFF"/>
                <w:sz w:val="20"/>
              </w:rPr>
              <w:t>Sign-Off Date</w:t>
            </w:r>
          </w:p>
        </w:tc>
        <w:tc>
          <w:tcPr>
            <w:tcW w:type="dxa" w:w="1656"/>
            <w:tcMar>
              <w:top w:w="80" w:type="dxa"/>
              <w:bottom w:w="80" w:type="dxa"/>
              <w:left w:w="120" w:type="dxa"/>
              <w:right w:w="120" w:type="dxa"/>
            </w:tcMar>
            <w:shd w:fill="0052CC"/>
          </w:tcPr>
          <w:p>
            <w:pPr>
              <w:spacing w:before="40" w:after="40"/>
            </w:pPr>
            <w:r>
              <w:rPr>
                <w:b/>
                <w:color w:val="FFFFFF"/>
                <w:sz w:val="20"/>
              </w:rPr>
              <w:t>Operational Feedback</w:t>
            </w:r>
          </w:p>
        </w:tc>
      </w:tr>
      <w:tr>
        <w:tc>
          <w:tcPr>
            <w:tcW w:type="dxa" w:w="1656"/>
            <w:tcMar>
              <w:top w:w="80" w:type="dxa"/>
              <w:bottom w:w="80" w:type="dxa"/>
              <w:left w:w="120" w:type="dxa"/>
              <w:right w:w="120" w:type="dxa"/>
            </w:tcMar>
            <w:shd w:fill="F9FAFC"/>
          </w:tcPr>
          <w:p>
            <w:pPr>
              <w:spacing w:before="40" w:after="40"/>
            </w:pPr>
            <w:r>
              <w:rPr>
                <w:sz w:val="19"/>
              </w:rPr>
              <w:t>Marcus Vance</w:t>
            </w:r>
          </w:p>
        </w:tc>
        <w:tc>
          <w:tcPr>
            <w:tcW w:type="dxa" w:w="1656"/>
            <w:tcMar>
              <w:top w:w="80" w:type="dxa"/>
              <w:bottom w:w="80" w:type="dxa"/>
              <w:left w:w="120" w:type="dxa"/>
              <w:right w:w="120" w:type="dxa"/>
            </w:tcMar>
            <w:shd w:fill="F9FAFC"/>
          </w:tcPr>
          <w:p>
            <w:pPr>
              <w:spacing w:before="40" w:after="40"/>
            </w:pPr>
            <w:r>
              <w:rPr>
                <w:sz w:val="19"/>
              </w:rPr>
              <w:t>End-User Community Lead</w:t>
            </w:r>
          </w:p>
        </w:tc>
        <w:tc>
          <w:tcPr>
            <w:tcW w:type="dxa" w:w="1656"/>
            <w:tcMar>
              <w:top w:w="80" w:type="dxa"/>
              <w:bottom w:w="80" w:type="dxa"/>
              <w:left w:w="120" w:type="dxa"/>
              <w:right w:w="120" w:type="dxa"/>
            </w:tcMar>
            <w:shd w:fill="F9FAFC"/>
          </w:tcPr>
          <w:p>
            <w:pPr>
              <w:spacing w:before="40" w:after="40"/>
            </w:pPr>
            <w:r>
              <w:rPr>
                <w:sz w:val="19"/>
              </w:rPr>
              <w:t>Senior Sales Engineer</w:t>
            </w:r>
          </w:p>
        </w:tc>
        <w:tc>
          <w:tcPr>
            <w:tcW w:type="dxa" w:w="1656"/>
            <w:tcMar>
              <w:top w:w="80" w:type="dxa"/>
              <w:bottom w:w="80" w:type="dxa"/>
              <w:left w:w="120" w:type="dxa"/>
              <w:right w:w="120" w:type="dxa"/>
            </w:tcMar>
            <w:shd w:fill="F9FAFC"/>
          </w:tcPr>
          <w:p>
            <w:pPr>
              <w:spacing w:before="40" w:after="40"/>
            </w:pPr>
            <w:r>
              <w:rPr>
                <w:sz w:val="19"/>
              </w:rPr>
              <w:t>ACCEPTED</w:t>
            </w:r>
          </w:p>
        </w:tc>
        <w:tc>
          <w:tcPr>
            <w:tcW w:type="dxa" w:w="1656"/>
            <w:tcMar>
              <w:top w:w="80" w:type="dxa"/>
              <w:bottom w:w="80" w:type="dxa"/>
              <w:left w:w="120" w:type="dxa"/>
              <w:right w:w="120" w:type="dxa"/>
            </w:tcMar>
            <w:shd w:fill="F9FAFC"/>
          </w:tcPr>
          <w:p>
            <w:pPr>
              <w:spacing w:before="40" w:after="40"/>
            </w:pPr>
            <w:r>
              <w:rPr>
                <w:sz w:val="19"/>
              </w:rPr>
              <w:t>2026-09-30</w:t>
            </w:r>
          </w:p>
        </w:tc>
        <w:tc>
          <w:tcPr>
            <w:tcW w:type="dxa" w:w="1656"/>
            <w:tcMar>
              <w:top w:w="80" w:type="dxa"/>
              <w:bottom w:w="80" w:type="dxa"/>
              <w:left w:w="120" w:type="dxa"/>
              <w:right w:w="120" w:type="dxa"/>
            </w:tcMar>
            <w:shd w:fill="F9FAFC"/>
          </w:tcPr>
          <w:p>
            <w:pPr>
              <w:spacing w:before="40" w:after="40"/>
            </w:pPr>
            <w:r>
              <w:rPr>
                <w:sz w:val="19"/>
              </w:rPr>
              <w:t>*"The portal form is clean, intuitive, and takes less than 3 minutes to submit."*</w:t>
            </w:r>
          </w:p>
        </w:tc>
      </w:tr>
      <w:tr>
        <w:tc>
          <w:tcPr>
            <w:tcW w:type="dxa" w:w="1656"/>
            <w:tcMar>
              <w:top w:w="80" w:type="dxa"/>
              <w:bottom w:w="80" w:type="dxa"/>
              <w:left w:w="120" w:type="dxa"/>
              <w:right w:w="120" w:type="dxa"/>
            </w:tcMar>
          </w:tcPr>
          <w:p>
            <w:pPr>
              <w:spacing w:before="40" w:after="40"/>
            </w:pPr>
            <w:r>
              <w:rPr>
                <w:sz w:val="19"/>
              </w:rPr>
              <w:t>Sarah Jenkins</w:t>
            </w:r>
          </w:p>
        </w:tc>
        <w:tc>
          <w:tcPr>
            <w:tcW w:type="dxa" w:w="1656"/>
            <w:tcMar>
              <w:top w:w="80" w:type="dxa"/>
              <w:bottom w:w="80" w:type="dxa"/>
              <w:left w:w="120" w:type="dxa"/>
              <w:right w:w="120" w:type="dxa"/>
            </w:tcMar>
          </w:tcPr>
          <w:p>
            <w:pPr>
              <w:spacing w:before="40" w:after="40"/>
            </w:pPr>
            <w:r>
              <w:rPr>
                <w:sz w:val="19"/>
              </w:rPr>
              <w:t>People Manager Representative</w:t>
            </w:r>
          </w:p>
        </w:tc>
        <w:tc>
          <w:tcPr>
            <w:tcW w:type="dxa" w:w="1656"/>
            <w:tcMar>
              <w:top w:w="80" w:type="dxa"/>
              <w:bottom w:w="80" w:type="dxa"/>
              <w:left w:w="120" w:type="dxa"/>
              <w:right w:w="120" w:type="dxa"/>
            </w:tcMar>
          </w:tcPr>
          <w:p>
            <w:pPr>
              <w:spacing w:before="40" w:after="40"/>
            </w:pPr>
            <w:r>
              <w:rPr>
                <w:sz w:val="19"/>
              </w:rPr>
              <w:t>Manager, Sales Engineering</w:t>
            </w:r>
          </w:p>
        </w:tc>
        <w:tc>
          <w:tcPr>
            <w:tcW w:type="dxa" w:w="1656"/>
            <w:tcMar>
              <w:top w:w="80" w:type="dxa"/>
              <w:bottom w:w="80" w:type="dxa"/>
              <w:left w:w="120" w:type="dxa"/>
              <w:right w:w="120" w:type="dxa"/>
            </w:tcMar>
          </w:tcPr>
          <w:p>
            <w:pPr>
              <w:spacing w:before="40" w:after="40"/>
            </w:pPr>
            <w:r>
              <w:rPr>
                <w:sz w:val="19"/>
              </w:rPr>
              <w:t>ACCEPTED</w:t>
            </w:r>
          </w:p>
        </w:tc>
        <w:tc>
          <w:tcPr>
            <w:tcW w:type="dxa" w:w="1656"/>
            <w:tcMar>
              <w:top w:w="80" w:type="dxa"/>
              <w:bottom w:w="80" w:type="dxa"/>
              <w:left w:w="120" w:type="dxa"/>
              <w:right w:w="120" w:type="dxa"/>
            </w:tcMar>
          </w:tcPr>
          <w:p>
            <w:pPr>
              <w:spacing w:before="40" w:after="40"/>
            </w:pPr>
            <w:r>
              <w:rPr>
                <w:sz w:val="19"/>
              </w:rPr>
              <w:t>2026-09-30</w:t>
            </w:r>
          </w:p>
        </w:tc>
        <w:tc>
          <w:tcPr>
            <w:tcW w:type="dxa" w:w="1656"/>
            <w:tcMar>
              <w:top w:w="80" w:type="dxa"/>
              <w:bottom w:w="80" w:type="dxa"/>
              <w:left w:w="120" w:type="dxa"/>
              <w:right w:w="120" w:type="dxa"/>
            </w:tcMar>
          </w:tcPr>
          <w:p>
            <w:pPr>
              <w:spacing w:before="40" w:after="40"/>
            </w:pPr>
            <w:r>
              <w:rPr>
                <w:sz w:val="19"/>
              </w:rPr>
              <w:t>*"One-click email approval from my smartphone is a game changer for managers."*</w:t>
            </w:r>
          </w:p>
        </w:tc>
      </w:tr>
      <w:tr>
        <w:tc>
          <w:tcPr>
            <w:tcW w:type="dxa" w:w="1656"/>
            <w:tcMar>
              <w:top w:w="80" w:type="dxa"/>
              <w:bottom w:w="80" w:type="dxa"/>
              <w:left w:w="120" w:type="dxa"/>
              <w:right w:w="120" w:type="dxa"/>
            </w:tcMar>
            <w:shd w:fill="F9FAFC"/>
          </w:tcPr>
          <w:p>
            <w:pPr>
              <w:spacing w:before="40" w:after="40"/>
            </w:pPr>
            <w:r>
              <w:rPr>
                <w:sz w:val="19"/>
              </w:rPr>
              <w:t>Derek Cole</w:t>
            </w:r>
          </w:p>
        </w:tc>
        <w:tc>
          <w:tcPr>
            <w:tcW w:type="dxa" w:w="1656"/>
            <w:tcMar>
              <w:top w:w="80" w:type="dxa"/>
              <w:bottom w:w="80" w:type="dxa"/>
              <w:left w:w="120" w:type="dxa"/>
              <w:right w:w="120" w:type="dxa"/>
            </w:tcMar>
            <w:shd w:fill="F9FAFC"/>
          </w:tcPr>
          <w:p>
            <w:pPr>
              <w:spacing w:before="40" w:after="40"/>
            </w:pPr>
            <w:r>
              <w:rPr>
                <w:sz w:val="19"/>
              </w:rPr>
              <w:t>Hardware Configuration Lead</w:t>
            </w:r>
          </w:p>
        </w:tc>
        <w:tc>
          <w:tcPr>
            <w:tcW w:type="dxa" w:w="1656"/>
            <w:tcMar>
              <w:top w:w="80" w:type="dxa"/>
              <w:bottom w:w="80" w:type="dxa"/>
              <w:left w:w="120" w:type="dxa"/>
              <w:right w:w="120" w:type="dxa"/>
            </w:tcMar>
            <w:shd w:fill="F9FAFC"/>
          </w:tcPr>
          <w:p>
            <w:pPr>
              <w:spacing w:before="40" w:after="40"/>
            </w:pPr>
            <w:r>
              <w:rPr>
                <w:sz w:val="19"/>
              </w:rPr>
              <w:t>Lead Hardware Specialist</w:t>
            </w:r>
          </w:p>
        </w:tc>
        <w:tc>
          <w:tcPr>
            <w:tcW w:type="dxa" w:w="1656"/>
            <w:tcMar>
              <w:top w:w="80" w:type="dxa"/>
              <w:bottom w:w="80" w:type="dxa"/>
              <w:left w:w="120" w:type="dxa"/>
              <w:right w:w="120" w:type="dxa"/>
            </w:tcMar>
            <w:shd w:fill="F9FAFC"/>
          </w:tcPr>
          <w:p>
            <w:pPr>
              <w:spacing w:before="40" w:after="40"/>
            </w:pPr>
            <w:r>
              <w:rPr>
                <w:sz w:val="19"/>
              </w:rPr>
              <w:t>ACCEPTED</w:t>
            </w:r>
          </w:p>
        </w:tc>
        <w:tc>
          <w:tcPr>
            <w:tcW w:type="dxa" w:w="1656"/>
            <w:tcMar>
              <w:top w:w="80" w:type="dxa"/>
              <w:bottom w:w="80" w:type="dxa"/>
              <w:left w:w="120" w:type="dxa"/>
              <w:right w:w="120" w:type="dxa"/>
            </w:tcMar>
            <w:shd w:fill="F9FAFC"/>
          </w:tcPr>
          <w:p>
            <w:pPr>
              <w:spacing w:before="40" w:after="40"/>
            </w:pPr>
            <w:r>
              <w:rPr>
                <w:sz w:val="19"/>
              </w:rPr>
              <w:t>2026-09-30</w:t>
            </w:r>
          </w:p>
        </w:tc>
        <w:tc>
          <w:tcPr>
            <w:tcW w:type="dxa" w:w="1656"/>
            <w:tcMar>
              <w:top w:w="80" w:type="dxa"/>
              <w:bottom w:w="80" w:type="dxa"/>
              <w:left w:w="120" w:type="dxa"/>
              <w:right w:w="120" w:type="dxa"/>
            </w:tcMar>
            <w:shd w:fill="F9FAFC"/>
          </w:tcPr>
          <w:p>
            <w:pPr>
              <w:spacing w:before="40" w:after="40"/>
            </w:pPr>
            <w:r>
              <w:rPr>
                <w:sz w:val="19"/>
              </w:rPr>
              <w:t>*"Automated SCTASKs provide exact OS and peripheral specs. Zero guesswork."*</w:t>
            </w:r>
          </w:p>
        </w:tc>
      </w:tr>
      <w:tr>
        <w:tc>
          <w:tcPr>
            <w:tcW w:type="dxa" w:w="1656"/>
            <w:tcMar>
              <w:top w:w="80" w:type="dxa"/>
              <w:bottom w:w="80" w:type="dxa"/>
              <w:left w:w="120" w:type="dxa"/>
              <w:right w:w="120" w:type="dxa"/>
            </w:tcMar>
          </w:tcPr>
          <w:p>
            <w:pPr>
              <w:spacing w:before="40" w:after="40"/>
            </w:pPr>
            <w:r>
              <w:rPr>
                <w:sz w:val="19"/>
              </w:rPr>
              <w:t>Maria Alvarez</w:t>
            </w:r>
          </w:p>
        </w:tc>
        <w:tc>
          <w:tcPr>
            <w:tcW w:type="dxa" w:w="1656"/>
            <w:tcMar>
              <w:top w:w="80" w:type="dxa"/>
              <w:bottom w:w="80" w:type="dxa"/>
              <w:left w:w="120" w:type="dxa"/>
              <w:right w:w="120" w:type="dxa"/>
            </w:tcMar>
          </w:tcPr>
          <w:p>
            <w:pPr>
              <w:spacing w:before="40" w:after="40"/>
            </w:pPr>
            <w:r>
              <w:rPr>
                <w:sz w:val="19"/>
              </w:rPr>
              <w:t>IT Logistics &amp; Field Services</w:t>
            </w:r>
          </w:p>
        </w:tc>
        <w:tc>
          <w:tcPr>
            <w:tcW w:type="dxa" w:w="1656"/>
            <w:tcMar>
              <w:top w:w="80" w:type="dxa"/>
              <w:bottom w:w="80" w:type="dxa"/>
              <w:left w:w="120" w:type="dxa"/>
              <w:right w:w="120" w:type="dxa"/>
            </w:tcMar>
          </w:tcPr>
          <w:p>
            <w:pPr>
              <w:spacing w:before="40" w:after="40"/>
            </w:pPr>
            <w:r>
              <w:rPr>
                <w:sz w:val="19"/>
              </w:rPr>
              <w:t>Manager, IT Field Logistics</w:t>
            </w:r>
          </w:p>
        </w:tc>
        <w:tc>
          <w:tcPr>
            <w:tcW w:type="dxa" w:w="1656"/>
            <w:tcMar>
              <w:top w:w="80" w:type="dxa"/>
              <w:bottom w:w="80" w:type="dxa"/>
              <w:left w:w="120" w:type="dxa"/>
              <w:right w:w="120" w:type="dxa"/>
            </w:tcMar>
          </w:tcPr>
          <w:p>
            <w:pPr>
              <w:spacing w:before="40" w:after="40"/>
            </w:pPr>
            <w:r>
              <w:rPr>
                <w:sz w:val="19"/>
              </w:rPr>
              <w:t>ACCEPTED</w:t>
            </w:r>
          </w:p>
        </w:tc>
        <w:tc>
          <w:tcPr>
            <w:tcW w:type="dxa" w:w="1656"/>
            <w:tcMar>
              <w:top w:w="80" w:type="dxa"/>
              <w:bottom w:w="80" w:type="dxa"/>
              <w:left w:w="120" w:type="dxa"/>
              <w:right w:w="120" w:type="dxa"/>
            </w:tcMar>
          </w:tcPr>
          <w:p>
            <w:pPr>
              <w:spacing w:before="40" w:after="40"/>
            </w:pPr>
            <w:r>
              <w:rPr>
                <w:sz w:val="19"/>
              </w:rPr>
              <w:t>2026-09-30</w:t>
            </w:r>
          </w:p>
        </w:tc>
        <w:tc>
          <w:tcPr>
            <w:tcW w:type="dxa" w:w="1656"/>
            <w:tcMar>
              <w:top w:w="80" w:type="dxa"/>
              <w:bottom w:w="80" w:type="dxa"/>
              <w:left w:w="120" w:type="dxa"/>
              <w:right w:w="120" w:type="dxa"/>
            </w:tcMar>
          </w:tcPr>
          <w:p>
            <w:pPr>
              <w:spacing w:before="40" w:after="40"/>
            </w:pPr>
            <w:r>
              <w:rPr>
                <w:sz w:val="19"/>
              </w:rPr>
              <w:t>*"Mandatory postal validation eliminated courier delivery failures completely."*</w:t>
            </w:r>
          </w:p>
        </w:tc>
      </w:tr>
      <w:tr>
        <w:tc>
          <w:tcPr>
            <w:tcW w:type="dxa" w:w="1656"/>
            <w:tcMar>
              <w:top w:w="80" w:type="dxa"/>
              <w:bottom w:w="80" w:type="dxa"/>
              <w:left w:w="120" w:type="dxa"/>
              <w:right w:w="120" w:type="dxa"/>
            </w:tcMar>
            <w:shd w:fill="F9FAFC"/>
          </w:tcPr>
          <w:p>
            <w:pPr>
              <w:spacing w:before="40" w:after="40"/>
            </w:pPr>
            <w:r>
              <w:rPr>
                <w:sz w:val="19"/>
              </w:rPr>
              <w:t>Kevin Zhang</w:t>
            </w:r>
          </w:p>
        </w:tc>
        <w:tc>
          <w:tcPr>
            <w:tcW w:type="dxa" w:w="1656"/>
            <w:tcMar>
              <w:top w:w="80" w:type="dxa"/>
              <w:bottom w:w="80" w:type="dxa"/>
              <w:left w:w="120" w:type="dxa"/>
              <w:right w:w="120" w:type="dxa"/>
            </w:tcMar>
            <w:shd w:fill="F9FAFC"/>
          </w:tcPr>
          <w:p>
            <w:pPr>
              <w:spacing w:before="40" w:after="40"/>
            </w:pPr>
            <w:r>
              <w:rPr>
                <w:sz w:val="19"/>
              </w:rPr>
              <w:t>Platform Owner</w:t>
            </w:r>
          </w:p>
        </w:tc>
        <w:tc>
          <w:tcPr>
            <w:tcW w:type="dxa" w:w="1656"/>
            <w:tcMar>
              <w:top w:w="80" w:type="dxa"/>
              <w:bottom w:w="80" w:type="dxa"/>
              <w:left w:w="120" w:type="dxa"/>
              <w:right w:w="120" w:type="dxa"/>
            </w:tcMar>
            <w:shd w:fill="F9FAFC"/>
          </w:tcPr>
          <w:p>
            <w:pPr>
              <w:spacing w:before="40" w:after="40"/>
            </w:pPr>
            <w:r>
              <w:rPr>
                <w:sz w:val="19"/>
              </w:rPr>
              <w:t>Lead ServiceNow Architect</w:t>
            </w:r>
          </w:p>
        </w:tc>
        <w:tc>
          <w:tcPr>
            <w:tcW w:type="dxa" w:w="1656"/>
            <w:tcMar>
              <w:top w:w="80" w:type="dxa"/>
              <w:bottom w:w="80" w:type="dxa"/>
              <w:left w:w="120" w:type="dxa"/>
              <w:right w:w="120" w:type="dxa"/>
            </w:tcMar>
            <w:shd w:fill="F9FAFC"/>
          </w:tcPr>
          <w:p>
            <w:pPr>
              <w:spacing w:before="40" w:after="40"/>
            </w:pPr>
            <w:r>
              <w:rPr>
                <w:sz w:val="19"/>
              </w:rPr>
              <w:t>ACCEPTED</w:t>
            </w:r>
          </w:p>
        </w:tc>
        <w:tc>
          <w:tcPr>
            <w:tcW w:type="dxa" w:w="1656"/>
            <w:tcMar>
              <w:top w:w="80" w:type="dxa"/>
              <w:bottom w:w="80" w:type="dxa"/>
              <w:left w:w="120" w:type="dxa"/>
              <w:right w:w="120" w:type="dxa"/>
            </w:tcMar>
            <w:shd w:fill="F9FAFC"/>
          </w:tcPr>
          <w:p>
            <w:pPr>
              <w:spacing w:before="40" w:after="40"/>
            </w:pPr>
            <w:r>
              <w:rPr>
                <w:sz w:val="19"/>
              </w:rPr>
              <w:t>2026-09-30</w:t>
            </w:r>
          </w:p>
        </w:tc>
        <w:tc>
          <w:tcPr>
            <w:tcW w:type="dxa" w:w="1656"/>
            <w:tcMar>
              <w:top w:w="80" w:type="dxa"/>
              <w:bottom w:w="80" w:type="dxa"/>
              <w:left w:w="120" w:type="dxa"/>
              <w:right w:w="120" w:type="dxa"/>
            </w:tcMar>
            <w:shd w:fill="F9FAFC"/>
          </w:tcPr>
          <w:p>
            <w:pPr>
              <w:spacing w:before="40" w:after="40"/>
            </w:pPr>
            <w:r>
              <w:rPr>
                <w:sz w:val="19"/>
              </w:rPr>
              <w:t>*"100% test pass rate, clean low-code flow design, and robust error trapping."*</w:t>
            </w:r>
          </w:p>
        </w:tc>
      </w:tr>
    </w:tbl>
    <w:p>
      <w:pPr>
        <w:spacing w:after="120"/>
      </w:pPr>
    </w:p>
    <w:p>
      <w:pPr>
        <w:spacing w:after="120" w:line="276" w:lineRule="auto"/>
      </w:pPr>
      <w:r>
        <w:t>---</w:t>
      </w:r>
    </w:p>
    <w:p>
      <w:pPr>
        <w:pStyle w:val="Heading2"/>
        <w:spacing w:before="280" w:after="80"/>
      </w:pPr>
      <w:r>
        <w:rPr>
          <w:rFonts w:ascii="Calibri" w:hAnsi="Calibri"/>
          <w:b/>
          <w:color w:val="172B4D"/>
        </w:rPr>
        <w:t>8. Lessons Learned &amp; Critical Success Factors</w:t>
      </w:r>
    </w:p>
    <w:p>
      <w:pPr>
        <w:pStyle w:val="Heading3"/>
        <w:spacing w:before="200" w:after="60"/>
      </w:pPr>
      <w:r>
        <w:rPr>
          <w:rFonts w:ascii="Calibri" w:hAnsi="Calibri"/>
          <w:b/>
          <w:color w:val="344563"/>
        </w:rPr>
        <w:t>8.1 Key Technical &amp; Architectural Insights</w:t>
      </w:r>
    </w:p>
    <w:p>
      <w:pPr>
        <w:pStyle w:val="ListNumber"/>
        <w:spacing w:after="40"/>
      </w:pPr>
      <w:r>
        <w:rPr>
          <w:b/>
        </w:rPr>
        <w:t>Low-Code Flow Designer vs Legacy Workflow</w:t>
      </w:r>
      <w:r>
        <w:t xml:space="preserve">: Transitioning from legacy JavaScript workflow engine to Flow Designer reduced custom script lines by </w:t>
      </w:r>
      <w:r>
        <w:rPr>
          <w:b/>
        </w:rPr>
        <w:t>over 1,500 lines of code</w:t>
      </w:r>
      <w:r>
        <w:t>. The visual execution engine significantly simplified troubleshooting and will reduce future platform upgrade maintenance overhead.</w:t>
      </w:r>
    </w:p>
    <w:p>
      <w:pPr>
        <w:pStyle w:val="ListNumber"/>
        <w:spacing w:after="40"/>
      </w:pPr>
      <w:r>
        <w:rPr>
          <w:b/>
        </w:rPr>
        <w:t>Defensive Data Pill Design</w:t>
      </w:r>
      <w:r>
        <w:t xml:space="preserve">: In enterprise ServiceNow environments, user profile data in </w:t>
      </w:r>
      <w:r>
        <w:rPr>
          <w:rFonts w:ascii="Consolas" w:hAnsi="Consolas"/>
          <w:color w:val="802020"/>
          <w:sz w:val="19"/>
        </w:rPr>
        <w:t>sys_user</w:t>
      </w:r>
      <w:r>
        <w:t xml:space="preserve"> is rarely 100% populated. Designing resilient fallback transforms (</w:t>
      </w:r>
      <w:r>
        <w:rPr>
          <w:rFonts w:ascii="Consolas" w:hAnsi="Consolas"/>
          <w:color w:val="802020"/>
          <w:sz w:val="19"/>
        </w:rPr>
        <w:t>fd_transform.coalesce</w:t>
      </w:r>
      <w:r>
        <w:t>) for managers and departments prevented potential workflow deadlocks for contractors and international transfers.</w:t>
      </w:r>
    </w:p>
    <w:p>
      <w:pPr>
        <w:pStyle w:val="ListNumber"/>
        <w:spacing w:after="40"/>
      </w:pPr>
      <w:r>
        <w:rPr>
          <w:b/>
        </w:rPr>
        <w:t>Responsive Client-Side Verification</w:t>
      </w:r>
      <w:r>
        <w:t>: Utilizing Catalog UI Policies combined with lightweight Catalog Client Scripts ensured data validation occurred in the browser prior to submission, reducing server roundtrips and guaranteeing high data quality.</w:t>
      </w:r>
    </w:p>
    <w:p>
      <w:pPr>
        <w:pStyle w:val="Heading3"/>
        <w:spacing w:before="200" w:after="60"/>
      </w:pPr>
      <w:r>
        <w:rPr>
          <w:rFonts w:ascii="Calibri" w:hAnsi="Calibri"/>
          <w:b/>
          <w:color w:val="344563"/>
        </w:rPr>
        <w:t>8.2 Organizational Change Management (OCM) Insights</w:t>
      </w:r>
    </w:p>
    <w:p>
      <w:pPr>
        <w:pStyle w:val="ListNumber"/>
        <w:spacing w:after="40"/>
      </w:pPr>
      <w:r>
        <w:rPr>
          <w:b/>
        </w:rPr>
        <w:t>Managerial Engagement via Email Actions</w:t>
      </w:r>
      <w:r>
        <w:t xml:space="preserve">: Enabling managers to approve requests directly within the notification body via </w:t>
      </w:r>
      <w:r>
        <w:rPr>
          <w:rFonts w:ascii="Consolas" w:hAnsi="Consolas"/>
          <w:color w:val="802020"/>
          <w:sz w:val="19"/>
        </w:rPr>
        <w:t>mailto:</w:t>
      </w:r>
      <w:r>
        <w:t xml:space="preserve"> links without logging into the ServiceNow portal increased approval compliance and cut approval turnaround time by 92%.</w:t>
      </w:r>
    </w:p>
    <w:p>
      <w:pPr>
        <w:pStyle w:val="ListNumber"/>
        <w:spacing w:after="40"/>
      </w:pPr>
      <w:r>
        <w:rPr>
          <w:b/>
        </w:rPr>
        <w:t>Early Cross-Functional Stakeholder Ingestion</w:t>
      </w:r>
      <w:r>
        <w:t>: Involving stockroom hardware technicians and logistics coordinators during Sprint 2 requirement workshops ensured the generated catalog tasks (</w:t>
      </w:r>
      <w:r>
        <w:rPr>
          <w:rFonts w:ascii="Consolas" w:hAnsi="Consolas"/>
          <w:color w:val="802020"/>
          <w:sz w:val="19"/>
        </w:rPr>
        <w:t>sc_task</w:t>
      </w:r>
      <w:r>
        <w:t>) contained the exact fields technicians needed, avoiding post-launch redesigns.</w:t>
      </w:r>
    </w:p>
    <w:p>
      <w:pPr>
        <w:spacing w:after="120" w:line="276" w:lineRule="auto"/>
      </w:pPr>
      <w:r>
        <w:t>---</w:t>
      </w:r>
    </w:p>
    <w:p>
      <w:pPr>
        <w:pStyle w:val="Heading2"/>
        <w:spacing w:before="280" w:after="80"/>
      </w:pPr>
      <w:r>
        <w:rPr>
          <w:rFonts w:ascii="Calibri" w:hAnsi="Calibri"/>
          <w:b/>
          <w:color w:val="172B4D"/>
        </w:rPr>
        <w:t>9. Future Roadmap &amp; Phase 2 Automation Recommendations</w:t>
      </w:r>
    </w:p>
    <w:p>
      <w:pPr>
        <w:spacing w:after="120" w:line="276" w:lineRule="auto"/>
      </w:pPr>
      <w:r>
        <w:t>To build upon the foundation established in Phase 1, the architecture team recommends a phased multi-year evolution:</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timeline</w:t>
              <w:br/>
              <w:t xml:space="preserve">    title IT Procurement Continuous Innovation Roadmap</w:t>
              <w:br/>
              <w:t xml:space="preserve">    Phase 1 (Current - Q3 2026) : Flow Designer Core Automation</w:t>
              <w:br/>
              <w:t xml:space="preserve">                               : Service Catalog &amp; UI Policies</w:t>
              <w:br/>
              <w:t xml:space="preserve">                               : Automated SCTASK Generation</w:t>
              <w:br/>
              <w:t xml:space="preserve">                               : Asset CMDB Synchronization</w:t>
              <w:br/>
              <w:t xml:space="preserve">    Phase 2 (Target - Q2 2027)  : B2B Supplier Punchout EDI (Dell/Lenovo)</w:t>
              <w:br/>
              <w:t xml:space="preserve">                               : Automated SAP ERP Purchase Orders</w:t>
              <w:br/>
              <w:t xml:space="preserve">                               : Agent Mobile Barcode Scanning</w:t>
              <w:br/>
              <w:t xml:space="preserve">    Phase 3 (Target - Q4 2027+) : AI Predictive Hardware Refresh</w:t>
              <w:br/>
              <w:t xml:space="preserve">                               : Zero-Touch Cloud Autopilot / Jamf</w:t>
              <w:br/>
              <w:t xml:space="preserve">                               : Automated E-Waste &amp; Asset Retirement</w:t>
            </w:r>
          </w:p>
        </w:tc>
      </w:tr>
    </w:tbl>
    <w:p>
      <w:pPr>
        <w:spacing w:after="80"/>
      </w:pPr>
    </w:p>
    <w:p>
      <w:pPr>
        <w:pStyle w:val="Heading3"/>
        <w:spacing w:before="200" w:after="60"/>
      </w:pPr>
      <w:r>
        <w:rPr>
          <w:rFonts w:ascii="Calibri" w:hAnsi="Calibri"/>
          <w:b/>
          <w:color w:val="344563"/>
        </w:rPr>
        <w:t>9.1 Phase 2 Recommendations (Target: Q2 2027)</w:t>
      </w:r>
    </w:p>
    <w:p>
      <w:pPr>
        <w:pStyle w:val="ListNumber"/>
        <w:spacing w:after="40"/>
      </w:pPr>
      <w:r>
        <w:rPr>
          <w:b/>
        </w:rPr>
        <w:t>Direct OEM B2B Integration Hub Spoke (Dell Premier &amp; Lenovo Direct)</w:t>
      </w:r>
      <w:r>
        <w:t>:</w:t>
      </w:r>
    </w:p>
    <w:p>
      <w:pPr>
        <w:pStyle w:val="ListBullet"/>
        <w:spacing w:after="40"/>
      </w:pPr>
      <w:r>
        <w:t>Implement ServiceNow Integration Hub REST/SOAP spokes directly connecting to hardware distributor catalogs.</w:t>
      </w:r>
    </w:p>
    <w:p>
      <w:pPr>
        <w:pStyle w:val="ListBullet"/>
        <w:spacing w:after="40"/>
      </w:pPr>
      <w:r>
        <w:t>When local inventory reaches safety stock minimums, automatically trigger electronic purchase requisitions without human procurement agent intervention.</w:t>
      </w:r>
    </w:p>
    <w:p>
      <w:pPr>
        <w:pStyle w:val="ListNumber"/>
        <w:spacing w:after="40"/>
      </w:pPr>
      <w:r>
        <w:rPr>
          <w:b/>
        </w:rPr>
        <w:t>Automated SAP S/4HANA PO Generation</w:t>
      </w:r>
      <w:r>
        <w:t>:</w:t>
      </w:r>
    </w:p>
    <w:p>
      <w:pPr>
        <w:pStyle w:val="ListBullet"/>
        <w:spacing w:after="40"/>
      </w:pPr>
      <w:r>
        <w:t xml:space="preserve">Establish bidirectional synchronization between ServiceNow </w:t>
      </w:r>
      <w:r>
        <w:rPr>
          <w:rFonts w:ascii="Consolas" w:hAnsi="Consolas"/>
          <w:color w:val="802020"/>
          <w:sz w:val="19"/>
        </w:rPr>
        <w:t>sc_request</w:t>
      </w:r>
      <w:r>
        <w:t xml:space="preserve"> and SAP ERP MM (Materials Management) module.</w:t>
      </w:r>
    </w:p>
    <w:p>
      <w:pPr>
        <w:pStyle w:val="ListBullet"/>
        <w:spacing w:after="40"/>
      </w:pPr>
      <w:r>
        <w:t>Automatically charge requisitioned laptop costs directly against the requester's cost center.</w:t>
      </w:r>
    </w:p>
    <w:p>
      <w:pPr>
        <w:pStyle w:val="ListNumber"/>
        <w:spacing w:after="40"/>
      </w:pPr>
      <w:r>
        <w:rPr>
          <w:b/>
        </w:rPr>
        <w:t>Now Mobile Barcode &amp; Asset Ingestion</w:t>
      </w:r>
      <w:r>
        <w:t>:</w:t>
      </w:r>
    </w:p>
    <w:p>
      <w:pPr>
        <w:pStyle w:val="ListBullet"/>
        <w:spacing w:after="40"/>
      </w:pPr>
      <w:r>
        <w:t>Equip stockroom hardware technicians with the ServiceNow Agent Mobile application.</w:t>
      </w:r>
    </w:p>
    <w:p>
      <w:pPr>
        <w:pStyle w:val="ListBullet"/>
        <w:spacing w:after="40"/>
      </w:pPr>
      <w:r>
        <w:t xml:space="preserve">Allow technicians to scan barcode asset tags and serial numbers directly via smartphone cameras, updating </w:t>
      </w:r>
      <w:r>
        <w:rPr>
          <w:rFonts w:ascii="Consolas" w:hAnsi="Consolas"/>
          <w:color w:val="802020"/>
          <w:sz w:val="19"/>
        </w:rPr>
        <w:t>alm_hardware</w:t>
      </w:r>
      <w:r>
        <w:t xml:space="preserve"> in under 3 seconds.</w:t>
      </w:r>
    </w:p>
    <w:p>
      <w:pPr>
        <w:pStyle w:val="Heading3"/>
        <w:spacing w:before="200" w:after="60"/>
      </w:pPr>
      <w:r>
        <w:rPr>
          <w:rFonts w:ascii="Calibri" w:hAnsi="Calibri"/>
          <w:b/>
          <w:color w:val="344563"/>
        </w:rPr>
        <w:t>9.2 Phase 3 Strategic Vision (Target: Q4 2027+)</w:t>
      </w:r>
    </w:p>
    <w:p>
      <w:pPr>
        <w:pStyle w:val="ListNumber"/>
        <w:spacing w:after="40"/>
      </w:pPr>
      <w:r>
        <w:rPr>
          <w:b/>
        </w:rPr>
        <w:t>Predictive Hardware Lifecycle Refresh (AIOps)</w:t>
      </w:r>
      <w:r>
        <w:t>:</w:t>
      </w:r>
    </w:p>
    <w:p>
      <w:pPr>
        <w:pStyle w:val="ListBullet"/>
        <w:spacing w:after="40"/>
      </w:pPr>
      <w:r>
        <w:t>Integrate endpoint telemetry data (battery health, disk degradation, blue-screen crash frequency) from Microsoft Intune / Nexthink into ServiceNow.</w:t>
      </w:r>
    </w:p>
    <w:p>
      <w:pPr>
        <w:pStyle w:val="ListBullet"/>
        <w:spacing w:after="40"/>
      </w:pPr>
      <w:r>
        <w:t>Automatically initiate proactive laptop replacement requests 60 days before anticipated device failure.</w:t>
      </w:r>
    </w:p>
    <w:p>
      <w:pPr>
        <w:pStyle w:val="ListNumber"/>
        <w:spacing w:after="40"/>
      </w:pPr>
      <w:r>
        <w:rPr>
          <w:b/>
        </w:rPr>
        <w:t>Zero-Touch Cloud Autopilot Provisioning</w:t>
      </w:r>
      <w:r>
        <w:t>:</w:t>
      </w:r>
    </w:p>
    <w:p>
      <w:pPr>
        <w:pStyle w:val="ListBullet"/>
        <w:spacing w:after="40"/>
      </w:pPr>
      <w:r>
        <w:t>Partner with OEM suppliers to ship pre-enrolled laptops directly from the factory to remote employees' homes.</w:t>
      </w:r>
    </w:p>
    <w:p>
      <w:pPr>
        <w:pStyle w:val="ListBullet"/>
        <w:spacing w:after="40"/>
      </w:pPr>
      <w:r>
        <w:t>Devices self-configure via Microsoft Windows Autopilot and Apple Automated Device Enrollment upon first power-on, entirely bypassing physical IT staging.</w:t>
      </w:r>
    </w:p>
    <w:p>
      <w:pPr>
        <w:spacing w:after="120" w:line="276" w:lineRule="auto"/>
      </w:pPr>
      <w:r>
        <w:t>---</w:t>
      </w:r>
    </w:p>
    <w:p>
      <w:pPr>
        <w:pStyle w:val="Heading2"/>
        <w:spacing w:before="280" w:after="80"/>
      </w:pPr>
      <w:r>
        <w:rPr>
          <w:rFonts w:ascii="Calibri" w:hAnsi="Calibri"/>
          <w:b/>
          <w:color w:val="172B4D"/>
        </w:rPr>
        <w:t>10. Conclusion &amp; Final Sign-Off</w:t>
      </w:r>
    </w:p>
    <w:p>
      <w:pPr>
        <w:spacing w:after="120" w:line="276" w:lineRule="auto"/>
      </w:pPr>
      <w:r>
        <w:t xml:space="preserve">The </w:t>
      </w:r>
      <w:r>
        <w:rPr>
          <w:b/>
        </w:rPr>
        <w:t>Automated Standard Laptop Procurement Flow Designer Implementation</w:t>
      </w:r>
      <w:r>
        <w:t xml:space="preserve"> has proven to be an overwhelming operational, financial, and strategic success. By replacing antiquated manual routines with modern, cloud-native ServiceNow workflow automation, the project has achieved:</w:t>
      </w:r>
    </w:p>
    <w:p>
      <w:pPr>
        <w:pStyle w:val="ListBullet"/>
        <w:spacing w:after="40"/>
      </w:pPr>
      <w:r>
        <w:rPr>
          <w:b/>
        </w:rPr>
        <w:t>83.1% reduction in cycle time</w:t>
      </w:r>
      <w:r>
        <w:t xml:space="preserve"> (14.2 days down to 2.4 days)</w:t>
      </w:r>
    </w:p>
    <w:p>
      <w:pPr>
        <w:pStyle w:val="ListBullet"/>
        <w:spacing w:after="40"/>
      </w:pPr>
      <w:r>
        <w:rPr>
          <w:b/>
        </w:rPr>
        <w:t>92.2% reduction in specialist manual processing effort</w:t>
      </w:r>
      <w:r>
        <w:t xml:space="preserve"> (42.0 hours down to 3.3 hours weekly)</w:t>
      </w:r>
    </w:p>
    <w:p>
      <w:pPr>
        <w:pStyle w:val="ListBullet"/>
        <w:spacing w:after="40"/>
      </w:pPr>
      <w:r>
        <w:rPr>
          <w:b/>
        </w:rPr>
        <w:t>100% order visibility and auditability</w:t>
      </w:r>
    </w:p>
    <w:p>
      <w:pPr>
        <w:pStyle w:val="ListBullet"/>
        <w:spacing w:after="40"/>
      </w:pPr>
      <w:r>
        <w:rPr>
          <w:b/>
        </w:rPr>
        <w:t>$1,273,450 3-year Net Present Value with a 2.6-month payback</w:t>
      </w:r>
    </w:p>
    <w:p>
      <w:pPr>
        <w:spacing w:after="120" w:line="276" w:lineRule="auto"/>
      </w:pPr>
      <w:r>
        <w:t>The solution is fully operational, thoroughly documented in the Functional Specification Document, accepted by all enterprise stakeholders, and ready for continuous production operation.</w:t>
      </w:r>
    </w:p>
    <w:p>
      <w:pPr>
        <w:spacing w:after="120" w:line="276" w:lineRule="auto"/>
      </w:pPr>
      <w:r>
        <w:t>---</w:t>
      </w:r>
    </w:p>
    <w:p>
      <w:pPr>
        <w:spacing w:after="120" w:line="276" w:lineRule="auto"/>
      </w:pPr>
      <w:r>
        <w:rPr>
          <w:i/>
        </w:rPr>
        <w:t>End of Final Project Report (PRJ-ITSM-2026-AUTO-06).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