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Choose </w:t>
      </w:r>
      <w:r>
        <w:rPr>
          <w:b/>
        </w:rPr>
        <w:t>Orthopaedic</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and </w:t>
      </w:r>
      <w:r>
        <w:rPr>
          <w:rFonts w:ascii="Consolas" w:hAnsi="Consolas"/>
          <w:sz w:val="18"/>
        </w:rPr>
        <w:t>specialization='Orthopaedic'</w:t>
      </w:r>
      <w:r>
        <w:t xml:space="preserve"> - the exact label, not a code.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reaches the profile row through the signup trigger (</w:t>
      </w:r>
      <w:r>
        <w:rPr>
          <w:rFonts w:ascii="Consolas" w:hAnsi="Consolas"/>
          <w:sz w:val="18"/>
        </w:rPr>
        <w:t>handle_new_user</w:t>
      </w:r>
      <w:r>
        <w:t xml:space="preserve">). A database that has not had the schema re-applied writes the rest of the application and leaves that column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