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Booking Rules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w:t>
      </w:r>
    </w:p>
    <w:p>
      <w:pPr>
        <w:pStyle w:val="ListBullet"/>
      </w:pPr>
      <w:r>
        <w:rPr>
          <w:b/>
        </w:rPr>
        <w:t>A limited scope gets a "Your access" card</w:t>
      </w:r>
      <w:r>
        <w:t xml:space="preserve"> under Queues, naming the sections it opens and the ones it does not.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