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tests them directly with </w:t>
      </w:r>
      <w:r>
        <w:rPr>
          <w:rFonts w:ascii="Consolas" w:hAnsi="Consolas"/>
          <w:sz w:val="18"/>
        </w:rPr>
        <w:t>curl</w:t>
      </w:r>
      <w:r>
        <w:t xml:space="preserve"> —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ADM-RISK-003</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POST to </w:t>
      </w:r>
      <w:r>
        <w:rPr>
          <w:rFonts w:ascii="Consolas" w:hAnsi="Consolas"/>
          <w:sz w:val="18"/>
        </w:rPr>
        <w:t>/api/appointments/confirm-free</w:t>
      </w:r>
      <w:r>
        <w:t xml:space="preserve"> with a real unpaid appointment id (browser console or curl, signed in as that patient). </w:t>
      </w:r>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Settings → Activity Log</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Activity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Settings → Activity Log</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Activity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ten Settings screens in turn: Brand &amp; Contact, Public Site, Booking Rules, Offers &amp; Discounts, Programmes &amp; Home Visits, Clinical Questions, User Access, System Health, Activity Log, Account Security.</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one-time password shown once and </w:t>
      </w:r>
      <w:r>
        <w:rPr>
          <w:b/>
        </w:rPr>
        <w:t>never logged</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Settings → Activity Log</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or deleted by anyone</w:t>
      </w:r>
      <w:r>
        <w:t>, including the admin who wrote it. That is enforced by the table having no update policy; the sentence is there because a reader weighing an entry needs to know it.</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five Money screens in turn: Summary, Transactions, Payouts, Costs, Breakdown.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