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40" w:line="276" w:lineRule="auto"/>
        <w:jc w:val="center"/>
      </w:pPr>
      <w:r>
        <w:rPr>
          <w:rFonts w:ascii="Times New Roman" w:hAnsi="Times New Roman"/>
          <w:b/>
          <w:color w:val="000000"/>
          <w:sz w:val="24"/>
        </w:rPr>
        <w:t>CLOUD-NATIVE SMART WATER DISTRIBUTION MONITORING AND LEAKAGE DETECTION PLATFORM</w:t>
      </w:r>
    </w:p>
    <w:p>
      <w:pPr>
        <w:spacing w:before="120" w:after="360" w:line="276" w:lineRule="auto"/>
        <w:jc w:val="center"/>
      </w:pPr>
      <w:r>
        <w:rPr>
          <w:rFonts w:ascii="Times New Roman" w:hAnsi="Times New Roman"/>
          <w:b/>
          <w:color w:val="000000"/>
          <w:sz w:val="24"/>
        </w:rPr>
        <w:t>A CAPSTONE PROJECT REPORT</w:t>
      </w:r>
    </w:p>
    <w:p>
      <w:pPr>
        <w:spacing w:before="0" w:after="80" w:line="276" w:lineRule="auto"/>
        <w:jc w:val="center"/>
      </w:pPr>
      <w:r>
        <w:rPr>
          <w:rFonts w:ascii="Times New Roman" w:hAnsi="Times New Roman"/>
          <w:b w:val="0"/>
          <w:color w:val="000000"/>
          <w:sz w:val="24"/>
        </w:rPr>
        <w:t>A Capstone Project Report submitted in partial fulfilment of the requirements for the Course of</w:t>
      </w:r>
    </w:p>
    <w:p>
      <w:pPr>
        <w:spacing w:before="240" w:after="80" w:line="276" w:lineRule="auto"/>
        <w:jc w:val="center"/>
      </w:pPr>
      <w:r>
        <w:rPr>
          <w:rFonts w:ascii="Times New Roman" w:hAnsi="Times New Roman"/>
          <w:b/>
          <w:color w:val="000000"/>
          <w:sz w:val="24"/>
        </w:rPr>
        <w:t>CSA1501 - CLOUD COMPUTING AND BIG DATA ANALYTICS</w:t>
      </w:r>
    </w:p>
    <w:p>
      <w:pPr>
        <w:spacing w:before="0" w:after="80" w:line="276" w:lineRule="auto"/>
        <w:jc w:val="center"/>
      </w:pPr>
      <w:r>
        <w:rPr>
          <w:rFonts w:ascii="Times New Roman" w:hAnsi="Times New Roman"/>
          <w:b w:val="0"/>
          <w:color w:val="000000"/>
          <w:sz w:val="24"/>
        </w:rPr>
        <w:t>for the award of the degree of</w:t>
      </w:r>
    </w:p>
    <w:p>
      <w:pPr>
        <w:spacing w:before="240" w:after="40" w:line="276" w:lineRule="auto"/>
        <w:jc w:val="center"/>
      </w:pPr>
      <w:r>
        <w:rPr>
          <w:rFonts w:ascii="Times New Roman" w:hAnsi="Times New Roman"/>
          <w:b/>
          <w:color w:val="000000"/>
          <w:sz w:val="24"/>
        </w:rPr>
        <w:t>BACHELOR OF TECHNOLOGY</w:t>
      </w:r>
    </w:p>
    <w:p>
      <w:pPr>
        <w:spacing w:before="0" w:after="40" w:line="276" w:lineRule="auto"/>
        <w:jc w:val="center"/>
      </w:pPr>
      <w:r>
        <w:rPr>
          <w:rFonts w:ascii="Times New Roman" w:hAnsi="Times New Roman"/>
          <w:b w:val="0"/>
          <w:color w:val="000000"/>
          <w:sz w:val="24"/>
        </w:rPr>
        <w:t>IN</w:t>
      </w:r>
    </w:p>
    <w:p>
      <w:pPr>
        <w:spacing w:before="240" w:after="480" w:line="276" w:lineRule="auto"/>
        <w:jc w:val="center"/>
      </w:pPr>
      <w:r>
        <w:rPr>
          <w:rFonts w:ascii="Times New Roman" w:hAnsi="Times New Roman"/>
          <w:b/>
          <w:color w:val="000000"/>
          <w:sz w:val="24"/>
        </w:rPr>
        <w:t>ARTIFICIAL INTELLIGENCE AND DATA SCIENCE</w:t>
      </w:r>
    </w:p>
    <w:p>
      <w:pPr>
        <w:spacing w:before="0" w:after="120" w:line="276" w:lineRule="auto"/>
        <w:jc w:val="center"/>
      </w:pPr>
      <w:r>
        <w:rPr>
          <w:rFonts w:ascii="Times New Roman" w:hAnsi="Times New Roman"/>
          <w:b w:val="0"/>
          <w:color w:val="000000"/>
          <w:sz w:val="24"/>
        </w:rPr>
        <w:t>Submitted by</w:t>
      </w:r>
    </w:p>
    <w:p>
      <w:pPr>
        <w:spacing w:before="240" w:after="480" w:line="276" w:lineRule="auto"/>
        <w:jc w:val="center"/>
      </w:pPr>
      <w:r>
        <w:rPr>
          <w:rFonts w:ascii="Times New Roman" w:hAnsi="Times New Roman"/>
          <w:b/>
          <w:color w:val="000000"/>
          <w:sz w:val="24"/>
        </w:rPr>
        <w:t>NITHEESH S (192524329)</w:t>
        <w:br/>
        <w:t>VINITH N (192524463)</w:t>
        <w:br/>
        <w:t>AAKASH R (192524462)</w:t>
        <w:br/>
        <w:t>THAMIZHARASU S (192524006)</w:t>
      </w:r>
    </w:p>
    <w:p>
      <w:pPr>
        <w:spacing w:before="0" w:after="80" w:line="276" w:lineRule="auto"/>
        <w:jc w:val="center"/>
      </w:pPr>
      <w:r>
        <w:rPr>
          <w:rFonts w:ascii="Times New Roman" w:hAnsi="Times New Roman"/>
          <w:b w:val="0"/>
          <w:color w:val="000000"/>
          <w:sz w:val="24"/>
        </w:rPr>
        <w:t>Under the Supervision of</w:t>
      </w:r>
    </w:p>
    <w:p>
      <w:pPr>
        <w:spacing w:before="240" w:after="480" w:line="276" w:lineRule="auto"/>
        <w:jc w:val="center"/>
      </w:pPr>
      <w:r>
        <w:rPr>
          <w:rFonts w:ascii="Times New Roman" w:hAnsi="Times New Roman"/>
          <w:b/>
          <w:color w:val="000000"/>
          <w:sz w:val="24"/>
        </w:rPr>
        <w:t>Dr. BOOMIJA M. D.</w:t>
      </w:r>
    </w:p>
    <w:p>
      <w:pPr>
        <w:spacing w:before="240" w:after="40" w:line="276" w:lineRule="auto"/>
        <w:jc w:val="center"/>
      </w:pPr>
      <w:r>
        <w:rPr>
          <w:rFonts w:ascii="Times New Roman" w:hAnsi="Times New Roman"/>
          <w:b/>
          <w:color w:val="000000"/>
          <w:sz w:val="24"/>
        </w:rPr>
        <w:t>SIMATS ENGINEERING</w:t>
      </w:r>
    </w:p>
    <w:p>
      <w:pPr>
        <w:spacing w:before="0" w:after="40" w:line="276" w:lineRule="auto"/>
        <w:jc w:val="center"/>
      </w:pPr>
      <w:r>
        <w:rPr>
          <w:rFonts w:ascii="Times New Roman" w:hAnsi="Times New Roman"/>
          <w:b w:val="0"/>
          <w:color w:val="000000"/>
          <w:sz w:val="24"/>
        </w:rPr>
        <w:t>Saveetha Institute of Medical and Technical Sciences</w:t>
      </w:r>
    </w:p>
    <w:p>
      <w:pPr>
        <w:spacing w:before="0" w:after="120" w:line="276" w:lineRule="auto"/>
        <w:jc w:val="center"/>
      </w:pPr>
      <w:r>
        <w:rPr>
          <w:rFonts w:ascii="Times New Roman" w:hAnsi="Times New Roman"/>
          <w:b w:val="0"/>
          <w:color w:val="000000"/>
          <w:sz w:val="24"/>
        </w:rPr>
        <w:t>Chennai - 602105</w:t>
      </w:r>
    </w:p>
    <w:p>
      <w:pPr>
        <w:spacing w:before="240" w:after="240" w:line="276" w:lineRule="auto"/>
        <w:jc w:val="center"/>
      </w:pPr>
      <w:r>
        <w:rPr>
          <w:rFonts w:ascii="Times New Roman" w:hAnsi="Times New Roman"/>
          <w:b/>
          <w:color w:val="000000"/>
          <w:sz w:val="24"/>
        </w:rPr>
        <w:t>SEPTEMBER 2026</w:t>
      </w:r>
    </w:p>
    <w:p>
      <w:r>
        <w:br w:type="page"/>
      </w:r>
    </w:p>
    <w:p>
      <w:pPr>
        <w:spacing w:before="240" w:after="360" w:line="276" w:lineRule="auto"/>
        <w:jc w:val="center"/>
      </w:pPr>
      <w:r>
        <w:rPr>
          <w:rFonts w:ascii="Times New Roman" w:hAnsi="Times New Roman"/>
          <w:b/>
          <w:color w:val="000000"/>
          <w:sz w:val="24"/>
        </w:rPr>
        <w:t>BONAFIDE CERTIFICATE</w:t>
      </w:r>
    </w:p>
    <w:p>
      <w:pPr>
        <w:spacing w:before="0" w:after="1200" w:line="276" w:lineRule="auto"/>
        <w:jc w:val="both"/>
      </w:pPr>
      <w:r>
        <w:rPr>
          <w:rFonts w:ascii="Times New Roman" w:hAnsi="Times New Roman"/>
          <w:b w:val="0"/>
          <w:color w:val="000000"/>
          <w:sz w:val="24"/>
        </w:rPr>
        <w:t>This is to certify that the Capstone Project entitled "Cloud-Native Smart Water Distribution Monitoring And Leakage Detection Platform" has been carried out by Nitheesh S (192524329), Vinith N (192524463), Aakash R (192524462), and Thamizharasu S (192524006) under the supervision of Dr. M. D. Boomija and is submitted in partial fulfilment of the requirements for the current semester of the B.Tech Artificial Intelligence and Data Science program at Saveetha Institute of Medical and Technical Sciences, Chennai.</w:t>
      </w:r>
    </w:p>
    <w:tbl>
      <w:tblPr>
        <w:tblW w:type="auto" w:w="0"/>
        <w:tblLook w:firstColumn="1" w:firstRow="1" w:lastColumn="0" w:lastRow="0" w:noHBand="0" w:noVBand="1" w:val="04A0"/>
      </w:tblPr>
      <w:tblGrid>
        <w:gridCol w:w="4680"/>
        <w:gridCol w:w="4680"/>
      </w:tblGrid>
      <w:tr>
        <w:tc>
          <w:tcPr>
            <w:tcW w:type="dxa" w:w="4608"/>
            <w:tcBorders>
              <w:top w:val="none"/>
              <w:left w:val="none"/>
              <w:bottom w:val="none"/>
              <w:right w:val="none"/>
            </w:tcBorders>
          </w:tcPr>
          <w:p>
            <w:pPr>
              <w:jc w:val="center"/>
            </w:pPr>
            <w:r>
              <w:rPr>
                <w:rFonts w:ascii="Times New Roman" w:hAnsi="Times New Roman"/>
                <w:b/>
                <w:color w:val="000000"/>
                <w:sz w:val="24"/>
              </w:rPr>
              <w:t>COURSE COORDINATOR</w:t>
            </w:r>
          </w:p>
        </w:tc>
        <w:tc>
          <w:tcPr>
            <w:tcW w:type="dxa" w:w="4608"/>
            <w:tcBorders>
              <w:top w:val="none"/>
              <w:left w:val="none"/>
              <w:bottom w:val="none"/>
              <w:right w:val="none"/>
            </w:tcBorders>
          </w:tcPr>
          <w:p>
            <w:pPr>
              <w:jc w:val="center"/>
            </w:pPr>
            <w:r>
              <w:rPr>
                <w:rFonts w:ascii="Times New Roman" w:hAnsi="Times New Roman"/>
                <w:b/>
                <w:color w:val="000000"/>
                <w:sz w:val="24"/>
              </w:rPr>
              <w:t>COURSE FACULTY</w:t>
            </w:r>
          </w:p>
        </w:tc>
      </w:tr>
      <w:tr>
        <w:tc>
          <w:tcPr>
            <w:tcW w:type="dxa" w:w="4608"/>
            <w:tcBorders>
              <w:top w:val="none"/>
              <w:left w:val="none"/>
              <w:bottom w:val="none"/>
              <w:right w:val="none"/>
            </w:tcBorders>
          </w:tcPr>
          <w:p>
            <w:pPr>
              <w:jc w:val="center"/>
            </w:pPr>
            <w:r>
              <w:rPr>
                <w:rFonts w:ascii="Times New Roman" w:hAnsi="Times New Roman"/>
                <w:b/>
                <w:color w:val="000000"/>
                <w:sz w:val="24"/>
              </w:rPr>
              <w:t>Dr. GNANA SOUNDARI</w:t>
            </w:r>
          </w:p>
        </w:tc>
        <w:tc>
          <w:tcPr>
            <w:tcW w:type="dxa" w:w="4608"/>
            <w:tcBorders>
              <w:top w:val="none"/>
              <w:left w:val="none"/>
              <w:bottom w:val="none"/>
              <w:right w:val="none"/>
            </w:tcBorders>
          </w:tcPr>
          <w:p>
            <w:pPr>
              <w:jc w:val="center"/>
            </w:pPr>
            <w:r>
              <w:rPr>
                <w:rFonts w:ascii="Times New Roman" w:hAnsi="Times New Roman"/>
                <w:b/>
                <w:color w:val="000000"/>
                <w:sz w:val="24"/>
              </w:rPr>
              <w:t>Dr. M. D. BOOMIJA</w:t>
            </w:r>
          </w:p>
        </w:tc>
      </w:tr>
      <w:tr>
        <w:tc>
          <w:tcPr>
            <w:tcW w:type="dxa" w:w="4608"/>
            <w:tcBorders>
              <w:top w:val="none"/>
              <w:left w:val="none"/>
              <w:bottom w:val="none"/>
              <w:right w:val="none"/>
            </w:tcBorders>
          </w:tcPr>
          <w:p>
            <w:pPr>
              <w:jc w:val="center"/>
            </w:pPr>
            <w:r>
              <w:rPr>
                <w:rFonts w:ascii="Times New Roman" w:hAnsi="Times New Roman"/>
                <w:b w:val="0"/>
                <w:color w:val="000000"/>
                <w:sz w:val="24"/>
              </w:rPr>
              <w:t>PROFESSOR, DEPT: CSE</w:t>
            </w:r>
          </w:p>
        </w:tc>
        <w:tc>
          <w:tcPr>
            <w:tcW w:type="dxa" w:w="4608"/>
            <w:tcBorders>
              <w:top w:val="none"/>
              <w:left w:val="none"/>
              <w:bottom w:val="none"/>
              <w:right w:val="none"/>
            </w:tcBorders>
          </w:tcPr>
          <w:p>
            <w:pPr>
              <w:jc w:val="center"/>
            </w:pPr>
            <w:r>
              <w:rPr>
                <w:rFonts w:ascii="Times New Roman" w:hAnsi="Times New Roman"/>
                <w:b w:val="0"/>
                <w:color w:val="000000"/>
                <w:sz w:val="24"/>
              </w:rPr>
              <w:t>PROFESSOR, DEPT: CSE</w:t>
            </w:r>
          </w:p>
        </w:tc>
      </w:tr>
      <w:tr>
        <w:tc>
          <w:tcPr>
            <w:tcW w:type="dxa" w:w="4608"/>
            <w:tcBorders>
              <w:top w:val="none"/>
              <w:left w:val="none"/>
              <w:bottom w:val="none"/>
              <w:right w:val="none"/>
            </w:tcBorders>
          </w:tcPr>
          <w:p>
            <w:pPr>
              <w:jc w:val="center"/>
            </w:pPr>
            <w:r>
              <w:rPr>
                <w:rFonts w:ascii="Times New Roman" w:hAnsi="Times New Roman"/>
                <w:b w:val="0"/>
                <w:color w:val="000000"/>
                <w:sz w:val="24"/>
              </w:rPr>
              <w:t>SIMATS, Chennai – 602105</w:t>
            </w:r>
          </w:p>
        </w:tc>
        <w:tc>
          <w:tcPr>
            <w:tcW w:type="dxa" w:w="4608"/>
            <w:tcBorders>
              <w:top w:val="none"/>
              <w:left w:val="none"/>
              <w:bottom w:val="none"/>
              <w:right w:val="none"/>
            </w:tcBorders>
          </w:tcPr>
          <w:p>
            <w:pPr>
              <w:jc w:val="center"/>
            </w:pPr>
            <w:r>
              <w:rPr>
                <w:rFonts w:ascii="Times New Roman" w:hAnsi="Times New Roman"/>
                <w:b w:val="0"/>
                <w:color w:val="000000"/>
                <w:sz w:val="24"/>
              </w:rPr>
              <w:t>SIMATS, Chennai – 602105</w:t>
            </w:r>
          </w:p>
        </w:tc>
      </w:tr>
    </w:tbl>
    <w:p>
      <w:r>
        <w:br w:type="page"/>
      </w:r>
    </w:p>
    <w:p>
      <w:pPr>
        <w:spacing w:before="240" w:after="360" w:line="276" w:lineRule="auto"/>
        <w:jc w:val="center"/>
      </w:pPr>
      <w:r>
        <w:rPr>
          <w:rFonts w:ascii="Times New Roman" w:hAnsi="Times New Roman"/>
          <w:b/>
          <w:color w:val="000000"/>
          <w:sz w:val="24"/>
        </w:rPr>
        <w:t>DECLARATION</w:t>
      </w:r>
    </w:p>
    <w:p>
      <w:pPr>
        <w:spacing w:before="0" w:after="600" w:line="276" w:lineRule="auto"/>
        <w:jc w:val="both"/>
      </w:pPr>
      <w:r>
        <w:rPr>
          <w:rFonts w:ascii="Times New Roman" w:hAnsi="Times New Roman"/>
          <w:b w:val="0"/>
          <w:color w:val="000000"/>
          <w:sz w:val="24"/>
        </w:rPr>
        <w:t>We, Nitheesh S, Vinith N, Aakash R, and Thamizharasu S, students of SIMATS Engineering, Saveetha Institute of Medical and Technical Sciences, Chennai, hereby declare that the Capstone Project Work entitled "Cloud-Native Smart Water Distribution Monitoring And Leakage Detection Platform" is the result of our own bonafide efforts. To the best of our knowledge, the work presented herein is original, accurate, and has been carried out in accordance with the principles of engineering ethics and academic integrity. All sources, references, data, and other materials used in the project have been appropriately acknowledged. We further declare that the data, results, analysis, and findings presented in this report have not been fabricated, falsified, or manipulated. Any external tools, software, datasets, computational resources, or AI-assisted tools used during the project have been appropriately disclosed. We confirm that all applicable ethical, academic, institutional, and professional requirements have been duly followed throughout the planning, execution, analysis, and documentation of the project.</w:t>
      </w:r>
    </w:p>
    <w:p>
      <w:pPr>
        <w:spacing w:before="0" w:after="40" w:line="276" w:lineRule="auto"/>
        <w:jc w:val="left"/>
      </w:pPr>
      <w:r>
        <w:rPr>
          <w:rFonts w:ascii="Times New Roman" w:hAnsi="Times New Roman"/>
          <w:b w:val="0"/>
          <w:color w:val="000000"/>
          <w:sz w:val="24"/>
        </w:rPr>
        <w:t>Place: Thandalam, Chennai</w:t>
      </w:r>
    </w:p>
    <w:p>
      <w:pPr>
        <w:spacing w:before="0" w:after="600" w:line="276" w:lineRule="auto"/>
        <w:jc w:val="left"/>
      </w:pPr>
      <w:r>
        <w:rPr>
          <w:rFonts w:ascii="Times New Roman" w:hAnsi="Times New Roman"/>
          <w:b w:val="0"/>
          <w:color w:val="000000"/>
          <w:sz w:val="24"/>
        </w:rPr>
        <w:t>Date: 04/09/2026</w:t>
      </w:r>
    </w:p>
    <w:p>
      <w:pPr>
        <w:spacing w:before="240" w:after="240" w:line="276" w:lineRule="auto"/>
        <w:jc w:val="left"/>
      </w:pPr>
      <w:r>
        <w:rPr>
          <w:rFonts w:ascii="Times New Roman" w:hAnsi="Times New Roman"/>
          <w:b/>
          <w:color w:val="000000"/>
          <w:sz w:val="24"/>
        </w:rPr>
        <w:t>Signature of the Students with Names:</w:t>
      </w:r>
    </w:p>
    <w:p>
      <w:pPr>
        <w:spacing w:before="0" w:after="80" w:line="276" w:lineRule="auto"/>
        <w:jc w:val="left"/>
      </w:pPr>
      <w:r>
        <w:rPr>
          <w:rFonts w:ascii="Times New Roman" w:hAnsi="Times New Roman"/>
          <w:b w:val="0"/>
          <w:color w:val="000000"/>
          <w:sz w:val="24"/>
        </w:rPr>
        <w:t>1. NITHEESH S (192524329)</w:t>
      </w:r>
    </w:p>
    <w:p>
      <w:pPr>
        <w:spacing w:before="0" w:after="80" w:line="276" w:lineRule="auto"/>
        <w:jc w:val="left"/>
      </w:pPr>
      <w:r>
        <w:rPr>
          <w:rFonts w:ascii="Times New Roman" w:hAnsi="Times New Roman"/>
          <w:b w:val="0"/>
          <w:color w:val="000000"/>
          <w:sz w:val="24"/>
        </w:rPr>
        <w:t>2. VINITH N (192524463)</w:t>
      </w:r>
    </w:p>
    <w:p>
      <w:pPr>
        <w:spacing w:before="0" w:after="80" w:line="276" w:lineRule="auto"/>
        <w:jc w:val="left"/>
      </w:pPr>
      <w:r>
        <w:rPr>
          <w:rFonts w:ascii="Times New Roman" w:hAnsi="Times New Roman"/>
          <w:b w:val="0"/>
          <w:color w:val="000000"/>
          <w:sz w:val="24"/>
        </w:rPr>
        <w:t>3. AAKASH R (192524462)</w:t>
      </w:r>
    </w:p>
    <w:p>
      <w:pPr>
        <w:spacing w:before="0" w:after="360" w:line="276" w:lineRule="auto"/>
        <w:jc w:val="left"/>
      </w:pPr>
      <w:r>
        <w:rPr>
          <w:rFonts w:ascii="Times New Roman" w:hAnsi="Times New Roman"/>
          <w:b w:val="0"/>
          <w:color w:val="000000"/>
          <w:sz w:val="24"/>
        </w:rPr>
        <w:t>4. THAMIZHARASU S (192524006)</w:t>
      </w:r>
    </w:p>
    <w:p>
      <w:r>
        <w:br w:type="page"/>
      </w:r>
    </w:p>
    <w:p>
      <w:pPr>
        <w:spacing w:before="240" w:after="120" w:line="276" w:lineRule="auto"/>
        <w:jc w:val="center"/>
      </w:pPr>
      <w:r>
        <w:rPr>
          <w:rFonts w:ascii="Times New Roman" w:hAnsi="Times New Roman"/>
          <w:b/>
          <w:color w:val="000000"/>
          <w:sz w:val="24"/>
        </w:rPr>
        <w:t>INDIVIDUAL CONTRIBUTION STATEMENT</w:t>
      </w:r>
    </w:p>
    <w:p>
      <w:pPr>
        <w:spacing w:before="0" w:after="360" w:line="276" w:lineRule="auto"/>
        <w:jc w:val="center"/>
      </w:pPr>
      <w:r>
        <w:rPr>
          <w:rFonts w:ascii="Times New Roman" w:hAnsi="Times New Roman"/>
          <w:b w:val="0"/>
          <w:color w:val="000000"/>
          <w:sz w:val="24"/>
        </w:rPr>
        <w:t>(Mandatory for all team projects)</w:t>
      </w:r>
    </w:p>
    <w:tbl>
      <w:tblPr>
        <w:tblW w:type="auto" w:w="0"/>
        <w:jc w:val="center"/>
        <w:tblLook w:firstColumn="1" w:firstRow="1" w:lastColumn="0" w:lastRow="0" w:noHBand="0" w:noVBand="1" w:val="04A0"/>
      </w:tblPr>
      <w:tblGrid>
        <w:gridCol w:w="1560"/>
        <w:gridCol w:w="1560"/>
        <w:gridCol w:w="1560"/>
        <w:gridCol w:w="1560"/>
        <w:gridCol w:w="1560"/>
        <w:gridCol w:w="1560"/>
      </w:tblGrid>
      <w:tr>
        <w:trPr>
          <w:cantSplit/>
        </w:trPr>
        <w:tc>
          <w:tcPr>
            <w:tcW w:type="dxa" w:w="1584"/>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b/>
                <w:color w:val="000000"/>
                <w:sz w:val="24"/>
              </w:rPr>
              <w:t>Student Name / Register No.</w:t>
            </w:r>
          </w:p>
        </w:tc>
        <w:tc>
          <w:tcPr>
            <w:tcW w:type="dxa" w:w="1584"/>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b/>
                <w:color w:val="000000"/>
                <w:sz w:val="24"/>
              </w:rPr>
              <w:t>Specific Responsibilities</w:t>
            </w:r>
          </w:p>
        </w:tc>
        <w:tc>
          <w:tcPr>
            <w:tcW w:type="dxa" w:w="1584"/>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b/>
                <w:color w:val="000000"/>
                <w:sz w:val="24"/>
              </w:rPr>
              <w:t>Design &amp; Development Contribution</w:t>
            </w:r>
          </w:p>
        </w:tc>
        <w:tc>
          <w:tcPr>
            <w:tcW w:type="dxa" w:w="1584"/>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b/>
                <w:color w:val="000000"/>
                <w:sz w:val="24"/>
              </w:rPr>
              <w:t>Testing &amp; Analysis Contribution</w:t>
            </w:r>
          </w:p>
        </w:tc>
        <w:tc>
          <w:tcPr>
            <w:tcW w:type="dxa" w:w="1584"/>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b/>
                <w:color w:val="000000"/>
                <w:sz w:val="24"/>
              </w:rPr>
              <w:t>Report Contribution</w:t>
            </w:r>
          </w:p>
        </w:tc>
        <w:tc>
          <w:tcPr>
            <w:tcW w:type="dxa" w:w="1008"/>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b/>
                <w:color w:val="000000"/>
                <w:sz w:val="24"/>
              </w:rPr>
              <w:t>Approx. Contribution (%)</w:t>
            </w:r>
          </w:p>
        </w:tc>
      </w:tr>
      <w:tr>
        <w:trPr>
          <w:cantSplit/>
        </w:trPr>
        <w:tc>
          <w:tcPr>
            <w:tcW w:type="dxa" w:w="1584"/>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Nitheesh S</w:t>
              <w:br/>
              <w:t>(192524329)</w:t>
            </w:r>
          </w:p>
        </w:tc>
        <w:tc>
          <w:tcPr>
            <w:tcW w:type="dxa" w:w="1584"/>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Edge IoT gateway configuration, sensor calibration, hardware-cloud telemetry pipeline via MQTT.</w:t>
            </w:r>
          </w:p>
        </w:tc>
        <w:tc>
          <w:tcPr>
            <w:tcW w:type="dxa" w:w="1584"/>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Architected edge sensor nodes and MQTT broker ingestion pipelines.</w:t>
            </w:r>
          </w:p>
        </w:tc>
        <w:tc>
          <w:tcPr>
            <w:tcW w:type="dxa" w:w="1584"/>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Conducted pressure drop simulations and field transmission latency tests.</w:t>
            </w:r>
          </w:p>
        </w:tc>
        <w:tc>
          <w:tcPr>
            <w:tcW w:type="dxa" w:w="1584"/>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Chapters 1 &amp; 4, System Architecture, Hardware Specifications.</w:t>
            </w:r>
          </w:p>
        </w:tc>
        <w:tc>
          <w:tcPr>
            <w:tcW w:type="dxa" w:w="1008"/>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25%</w:t>
            </w:r>
          </w:p>
        </w:tc>
      </w:tr>
      <w:tr>
        <w:trPr>
          <w:cantSplit/>
        </w:trPr>
        <w:tc>
          <w:tcPr>
            <w:tcW w:type="dxa" w:w="1584"/>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Vinith N</w:t>
              <w:br/>
              <w:t>(192524463)</w:t>
            </w:r>
          </w:p>
        </w:tc>
        <w:tc>
          <w:tcPr>
            <w:tcW w:type="dxa" w:w="1584"/>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Big Data streaming infrastructure, Apache Kafka cluster setup, and distributed Apache Spark streaming pipelines.</w:t>
            </w:r>
          </w:p>
        </w:tc>
        <w:tc>
          <w:tcPr>
            <w:tcW w:type="dxa" w:w="1584"/>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Designed high-throughput Kafka ingestion topics and Spark Windowed analytics jobs.</w:t>
            </w:r>
          </w:p>
        </w:tc>
        <w:tc>
          <w:tcPr>
            <w:tcW w:type="dxa" w:w="1584"/>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Evaluated streaming throughput under burst loads (up to 5,000 msg/s).</w:t>
            </w:r>
          </w:p>
        </w:tc>
        <w:tc>
          <w:tcPr>
            <w:tcW w:type="dxa" w:w="1584"/>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Chapter 4 (Streaming Pipelines), Big Data Architecture, Performance Benchmarks.</w:t>
            </w:r>
          </w:p>
        </w:tc>
        <w:tc>
          <w:tcPr>
            <w:tcW w:type="dxa" w:w="1008"/>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25%</w:t>
            </w:r>
          </w:p>
        </w:tc>
      </w:tr>
      <w:tr>
        <w:trPr>
          <w:cantSplit/>
        </w:trPr>
        <w:tc>
          <w:tcPr>
            <w:tcW w:type="dxa" w:w="1584"/>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Aakash R</w:t>
              <w:br/>
              <w:t>(192524462)</w:t>
            </w:r>
          </w:p>
        </w:tc>
        <w:tc>
          <w:tcPr>
            <w:tcW w:type="dxa" w:w="1584"/>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AI/ML anomaly detection models, deep learning autoencoder engineering, and acoustic leakage classification algorithms.</w:t>
            </w:r>
          </w:p>
        </w:tc>
        <w:tc>
          <w:tcPr>
            <w:tcW w:type="dxa" w:w="1584"/>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Developed Bidirectional LSTM Autoencoder and Random Forest hydraulic pressure models.</w:t>
            </w:r>
          </w:p>
        </w:tc>
        <w:tc>
          <w:tcPr>
            <w:tcW w:type="dxa" w:w="1584"/>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Model cross-validation, hyperparameter tuning, ROC-AUC and F1-score evaluation.</w:t>
            </w:r>
          </w:p>
        </w:tc>
        <w:tc>
          <w:tcPr>
            <w:tcW w:type="dxa" w:w="1584"/>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Chapter 3 (Design &amp; Trade-offs), Chapter 4 (AI Anomaly Detection), Literature Review.</w:t>
            </w:r>
          </w:p>
        </w:tc>
        <w:tc>
          <w:tcPr>
            <w:tcW w:type="dxa" w:w="1008"/>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25%</w:t>
            </w:r>
          </w:p>
        </w:tc>
      </w:tr>
      <w:tr>
        <w:trPr>
          <w:cantSplit/>
        </w:trPr>
        <w:tc>
          <w:tcPr>
            <w:tcW w:type="dxa" w:w="1584"/>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Thamizharasu S</w:t>
              <w:br/>
              <w:t>(192524006)</w:t>
            </w:r>
          </w:p>
        </w:tc>
        <w:tc>
          <w:tcPr>
            <w:tcW w:type="dxa" w:w="1584"/>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Cloud-native microservices backend, Kubernetes deployment, PostGIS GIS mapping, and SCADA monitoring dashboard.</w:t>
            </w:r>
          </w:p>
        </w:tc>
        <w:tc>
          <w:tcPr>
            <w:tcW w:type="dxa" w:w="1584"/>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Built FastAPI microservices, Docker containers, Helm charts, and Leaflet/Mapbox GIS console.</w:t>
            </w:r>
          </w:p>
        </w:tc>
        <w:tc>
          <w:tcPr>
            <w:tcW w:type="dxa" w:w="1584"/>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Carried out end-to-end integration tests, container failover, and API stress testing.</w:t>
            </w:r>
          </w:p>
        </w:tc>
        <w:tc>
          <w:tcPr>
            <w:tcW w:type="dxa" w:w="1584"/>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Chapter 3 (Security &amp; Risk), Chapter 5, Appendices, GIS Mapping Documentation.</w:t>
            </w:r>
          </w:p>
        </w:tc>
        <w:tc>
          <w:tcPr>
            <w:tcW w:type="dxa" w:w="1008"/>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25%</w:t>
            </w:r>
          </w:p>
        </w:tc>
      </w:tr>
      <w:tr>
        <w:trPr>
          <w:cantSplit/>
        </w:trPr>
        <w:tc>
          <w:tcPr>
            <w:tcW w:type="dxa" w:w="1584"/>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b/>
                <w:color w:val="000000"/>
                <w:sz w:val="24"/>
              </w:rPr>
              <w:t>Total</w:t>
            </w:r>
          </w:p>
        </w:tc>
        <w:tc>
          <w:tcPr>
            <w:tcW w:type="dxa" w:w="1584"/>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b/>
                <w:color w:val="000000"/>
                <w:sz w:val="24"/>
              </w:rPr>
              <w:t>-</w:t>
            </w:r>
          </w:p>
        </w:tc>
        <w:tc>
          <w:tcPr>
            <w:tcW w:type="dxa" w:w="1584"/>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b/>
                <w:color w:val="000000"/>
                <w:sz w:val="24"/>
              </w:rPr>
              <w:t>-</w:t>
            </w:r>
          </w:p>
        </w:tc>
        <w:tc>
          <w:tcPr>
            <w:tcW w:type="dxa" w:w="1584"/>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b/>
                <w:color w:val="000000"/>
                <w:sz w:val="24"/>
              </w:rPr>
              <w:t>-</w:t>
            </w:r>
          </w:p>
        </w:tc>
        <w:tc>
          <w:tcPr>
            <w:tcW w:type="dxa" w:w="1584"/>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b/>
                <w:color w:val="000000"/>
                <w:sz w:val="24"/>
              </w:rPr>
              <w:t>-</w:t>
            </w:r>
          </w:p>
        </w:tc>
        <w:tc>
          <w:tcPr>
            <w:tcW w:type="dxa" w:w="1008"/>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b/>
                <w:color w:val="000000"/>
                <w:sz w:val="24"/>
              </w:rPr>
              <w:t>100%</w:t>
            </w:r>
          </w:p>
        </w:tc>
      </w:tr>
    </w:tbl>
    <w:p>
      <w:r>
        <w:br w:type="page"/>
      </w:r>
    </w:p>
    <w:p>
      <w:pPr>
        <w:spacing w:before="240" w:after="360" w:line="276" w:lineRule="auto"/>
        <w:jc w:val="center"/>
      </w:pPr>
      <w:r>
        <w:rPr>
          <w:rFonts w:ascii="Times New Roman" w:hAnsi="Times New Roman"/>
          <w:b/>
          <w:color w:val="000000"/>
          <w:sz w:val="24"/>
        </w:rPr>
        <w:t>ABSTRACT</w:t>
      </w:r>
    </w:p>
    <w:p>
      <w:pPr>
        <w:spacing w:before="0" w:after="360" w:line="276" w:lineRule="auto"/>
        <w:jc w:val="both"/>
      </w:pPr>
      <w:r>
        <w:rPr>
          <w:rFonts w:ascii="Times New Roman" w:hAnsi="Times New Roman"/>
          <w:b w:val="0"/>
          <w:color w:val="000000"/>
          <w:sz w:val="24"/>
        </w:rPr>
        <w:t>Municipal water distribution networks across developing and developed nations face critical operational inefficiencies resulting from deteriorating physical infrastructure, subterranean pipe fractures, and inadequate real-time surveillance. Globally, Non-Revenue Water (NRW) due to unmonitored physical pipe bursts accounts for economic losses exceeding $39 billion annually, while squandering up to 35% to 50% of potable water supplies before reaching end consumers. Traditional Supervisory Control and Data Acquisition (SCADA) systems suffer from severe vendor lock-in, proprietary communication protocols, centralized compute bottlenecks, and a lack of automated predictive intelligence, relying primarily on human inspection after catastrophic surface ruptures occur. To decisively overcome these operational challenges, this project presents the engineering design, cloud-native implementation, and empirical validation of a high-throughput, horizontally scalable Smart Water Distribution Monitoring and Leakage Detection Platform. The proposed architecture integrates industrial Internet of Things (IoT) edge telemetry nodes, distributed big data streaming through Apache Kafka and Apache Spark, and a cloud-native microservices framework orchestrated via Kubernetes. Real-time hydraulic transients and anomalous pipe bursts are identified through a hybrid artificial intelligence pipeline comprising a Bidirectional Long Short-Term Memory (Bi-LSTM) Autoencoder combined with Spatial-Temporal Graph Neural Networks (ST-GNN). Sensor telemetry encompassing dynamic pressure gradients, acoustic emission vibrations, and ultrasonic volumetric flow rates is ingested at sub-second latencies, localized on a geospatial Information System (GIS) pipeline map, and prioritized for municipal maintenance dispatch. Experimental evaluations across physical bench-scale testbeds and synthetic EPANET hydraulic simulations demonstrate that the platform detects incipient leaks as small as 0.5 liters per minute within 1.4 seconds of occurrence, achieving a leakage detection F1-score of 96.8% and pipe rupture localization accuracy within a 2.3-meter radius. The cloud-native system sustained ingestion throughputs exceeding 10,000 events per second with 99.98% service availability, establishing an open, scalable, and cost-effective paradigm for sustainable urban water utility management.</w:t>
      </w:r>
    </w:p>
    <w:p>
      <w:pPr>
        <w:spacing w:before="120" w:after="80" w:line="276" w:lineRule="auto"/>
        <w:jc w:val="left"/>
      </w:pPr>
      <w:r>
        <w:rPr>
          <w:rFonts w:ascii="Times New Roman" w:hAnsi="Times New Roman"/>
          <w:b/>
          <w:color w:val="000000"/>
          <w:sz w:val="24"/>
        </w:rPr>
        <w:t>Keywords:</w:t>
      </w:r>
    </w:p>
    <w:p>
      <w:pPr>
        <w:spacing w:before="0" w:after="360" w:line="276" w:lineRule="auto"/>
        <w:jc w:val="left"/>
      </w:pPr>
      <w:r>
        <w:rPr>
          <w:rFonts w:ascii="Times New Roman" w:hAnsi="Times New Roman"/>
          <w:b w:val="0"/>
          <w:color w:val="000000"/>
          <w:sz w:val="24"/>
        </w:rPr>
        <w:t>Cloud-Native Architecture, Smart Water Distribution, Non-Revenue Water (NRW), Leakage Detection, Big Data Streaming, Machine Learning.</w:t>
      </w:r>
    </w:p>
    <w:p>
      <w:r>
        <w:br w:type="page"/>
      </w:r>
    </w:p>
    <w:p>
      <w:pPr>
        <w:spacing w:before="240" w:after="360" w:line="276" w:lineRule="auto"/>
        <w:jc w:val="center"/>
      </w:pPr>
      <w:r>
        <w:rPr>
          <w:rFonts w:ascii="Times New Roman" w:hAnsi="Times New Roman"/>
          <w:b/>
          <w:color w:val="000000"/>
          <w:sz w:val="24"/>
        </w:rPr>
        <w:t>TABLE OF CONTENTS</w:t>
      </w:r>
    </w:p>
    <w:tbl>
      <w:tblPr>
        <w:tblW w:type="auto" w:w="0"/>
        <w:jc w:val="center"/>
        <w:tblLook w:firstColumn="1" w:firstRow="1" w:lastColumn="0" w:lastRow="0" w:noHBand="0" w:noVBand="1" w:val="04A0"/>
      </w:tblPr>
      <w:tblGrid>
        <w:gridCol w:w="3120"/>
        <w:gridCol w:w="3120"/>
        <w:gridCol w:w="3120"/>
      </w:tblGrid>
      <w:tr>
        <w:trPr>
          <w:cantSplit/>
        </w:trPr>
        <w:tc>
          <w:tcPr>
            <w:tcW w:type="dxa" w:w="115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b/>
                <w:color w:val="000000"/>
                <w:sz w:val="24"/>
              </w:rPr>
              <w:t>Sl. No</w:t>
            </w:r>
          </w:p>
        </w:tc>
        <w:tc>
          <w:tcPr>
            <w:tcW w:type="dxa" w:w="691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b/>
                <w:color w:val="000000"/>
                <w:sz w:val="24"/>
              </w:rPr>
              <w:t>Title</w:t>
            </w:r>
          </w:p>
        </w:tc>
        <w:tc>
          <w:tcPr>
            <w:tcW w:type="dxa" w:w="1296"/>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b/>
                <w:color w:val="000000"/>
                <w:sz w:val="24"/>
              </w:rPr>
              <w:t>Page No.</w:t>
            </w:r>
          </w:p>
        </w:tc>
      </w:tr>
      <w:tr>
        <w:trPr>
          <w:cantSplit/>
        </w:trPr>
        <w:tc>
          <w:tcPr>
            <w:tcW w:type="dxa" w:w="115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i</w:t>
            </w:r>
          </w:p>
        </w:tc>
        <w:tc>
          <w:tcPr>
            <w:tcW w:type="dxa" w:w="691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BONAFIDE CERTIFICATE</w:t>
            </w:r>
          </w:p>
        </w:tc>
        <w:tc>
          <w:tcPr>
            <w:tcW w:type="dxa" w:w="1296"/>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ii</w:t>
            </w:r>
          </w:p>
        </w:tc>
      </w:tr>
      <w:tr>
        <w:trPr>
          <w:cantSplit/>
        </w:trPr>
        <w:tc>
          <w:tcPr>
            <w:tcW w:type="dxa" w:w="115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ii</w:t>
            </w:r>
          </w:p>
        </w:tc>
        <w:tc>
          <w:tcPr>
            <w:tcW w:type="dxa" w:w="691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DECLARATION BY THE CANDIDATES</w:t>
            </w:r>
          </w:p>
        </w:tc>
        <w:tc>
          <w:tcPr>
            <w:tcW w:type="dxa" w:w="1296"/>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iii</w:t>
            </w:r>
          </w:p>
        </w:tc>
      </w:tr>
      <w:tr>
        <w:trPr>
          <w:cantSplit/>
        </w:trPr>
        <w:tc>
          <w:tcPr>
            <w:tcW w:type="dxa" w:w="115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iii</w:t>
            </w:r>
          </w:p>
        </w:tc>
        <w:tc>
          <w:tcPr>
            <w:tcW w:type="dxa" w:w="691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INDIVIDUAL CONTRIBUTION STATEMENT</w:t>
            </w:r>
          </w:p>
        </w:tc>
        <w:tc>
          <w:tcPr>
            <w:tcW w:type="dxa" w:w="1296"/>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iv</w:t>
            </w:r>
          </w:p>
        </w:tc>
      </w:tr>
      <w:tr>
        <w:trPr>
          <w:cantSplit/>
        </w:trPr>
        <w:tc>
          <w:tcPr>
            <w:tcW w:type="dxa" w:w="115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iv</w:t>
            </w:r>
          </w:p>
        </w:tc>
        <w:tc>
          <w:tcPr>
            <w:tcW w:type="dxa" w:w="691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ABSTRACT</w:t>
            </w:r>
          </w:p>
        </w:tc>
        <w:tc>
          <w:tcPr>
            <w:tcW w:type="dxa" w:w="1296"/>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v</w:t>
            </w:r>
          </w:p>
        </w:tc>
      </w:tr>
      <w:tr>
        <w:trPr>
          <w:cantSplit/>
        </w:trPr>
        <w:tc>
          <w:tcPr>
            <w:tcW w:type="dxa" w:w="115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v</w:t>
            </w:r>
          </w:p>
        </w:tc>
        <w:tc>
          <w:tcPr>
            <w:tcW w:type="dxa" w:w="691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LIST OF FIGURES</w:t>
            </w:r>
          </w:p>
        </w:tc>
        <w:tc>
          <w:tcPr>
            <w:tcW w:type="dxa" w:w="1296"/>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vii</w:t>
            </w:r>
          </w:p>
        </w:tc>
      </w:tr>
      <w:tr>
        <w:trPr>
          <w:cantSplit/>
        </w:trPr>
        <w:tc>
          <w:tcPr>
            <w:tcW w:type="dxa" w:w="115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vi</w:t>
            </w:r>
          </w:p>
        </w:tc>
        <w:tc>
          <w:tcPr>
            <w:tcW w:type="dxa" w:w="691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LIST OF TABLES</w:t>
            </w:r>
          </w:p>
        </w:tc>
        <w:tc>
          <w:tcPr>
            <w:tcW w:type="dxa" w:w="1296"/>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viii</w:t>
            </w:r>
          </w:p>
        </w:tc>
      </w:tr>
      <w:tr>
        <w:trPr>
          <w:cantSplit/>
        </w:trPr>
        <w:tc>
          <w:tcPr>
            <w:tcW w:type="dxa" w:w="115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vii</w:t>
            </w:r>
          </w:p>
        </w:tc>
        <w:tc>
          <w:tcPr>
            <w:tcW w:type="dxa" w:w="691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LIST OF ABBREVIATIONS / SYMBOLS</w:t>
            </w:r>
          </w:p>
        </w:tc>
        <w:tc>
          <w:tcPr>
            <w:tcW w:type="dxa" w:w="1296"/>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ix</w:t>
            </w:r>
          </w:p>
        </w:tc>
      </w:tr>
      <w:tr>
        <w:trPr>
          <w:cantSplit/>
        </w:trPr>
        <w:tc>
          <w:tcPr>
            <w:tcW w:type="dxa" w:w="115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1</w:t>
            </w:r>
          </w:p>
        </w:tc>
        <w:tc>
          <w:tcPr>
            <w:tcW w:type="dxa" w:w="691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CHAPTER 1: INTRODUCTION AND ENGINEERING PROBLEM</w:t>
            </w:r>
          </w:p>
        </w:tc>
        <w:tc>
          <w:tcPr>
            <w:tcW w:type="dxa" w:w="1296"/>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1</w:t>
            </w:r>
          </w:p>
        </w:tc>
      </w:tr>
      <w:tr>
        <w:trPr>
          <w:cantSplit/>
        </w:trPr>
        <w:tc>
          <w:tcPr>
            <w:tcW w:type="dxa" w:w="115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2</w:t>
            </w:r>
          </w:p>
        </w:tc>
        <w:tc>
          <w:tcPr>
            <w:tcW w:type="dxa" w:w="691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CHAPTER 2: LITERATURE REVIEW AND EXISTING SOLUTIONS</w:t>
            </w:r>
          </w:p>
        </w:tc>
        <w:tc>
          <w:tcPr>
            <w:tcW w:type="dxa" w:w="1296"/>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5</w:t>
            </w:r>
          </w:p>
        </w:tc>
      </w:tr>
      <w:tr>
        <w:trPr>
          <w:cantSplit/>
        </w:trPr>
        <w:tc>
          <w:tcPr>
            <w:tcW w:type="dxa" w:w="115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3</w:t>
            </w:r>
          </w:p>
        </w:tc>
        <w:tc>
          <w:tcPr>
            <w:tcW w:type="dxa" w:w="691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CHAPTER 3: ENGINEERING DESIGN, TRADE-OFFS, SUSTAINABILITY &amp; RISK</w:t>
            </w:r>
          </w:p>
        </w:tc>
        <w:tc>
          <w:tcPr>
            <w:tcW w:type="dxa" w:w="1296"/>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9</w:t>
            </w:r>
          </w:p>
        </w:tc>
      </w:tr>
      <w:tr>
        <w:trPr>
          <w:cantSplit/>
        </w:trPr>
        <w:tc>
          <w:tcPr>
            <w:tcW w:type="dxa" w:w="115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4</w:t>
            </w:r>
          </w:p>
        </w:tc>
        <w:tc>
          <w:tcPr>
            <w:tcW w:type="dxa" w:w="691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CHAPTER 4: IMPLEMENTATION, TESTING, RESULTS &amp; PROJECT MANAGEMENT</w:t>
            </w:r>
          </w:p>
        </w:tc>
        <w:tc>
          <w:tcPr>
            <w:tcW w:type="dxa" w:w="1296"/>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16</w:t>
            </w:r>
          </w:p>
        </w:tc>
      </w:tr>
      <w:tr>
        <w:trPr>
          <w:cantSplit/>
        </w:trPr>
        <w:tc>
          <w:tcPr>
            <w:tcW w:type="dxa" w:w="115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5</w:t>
            </w:r>
          </w:p>
        </w:tc>
        <w:tc>
          <w:tcPr>
            <w:tcW w:type="dxa" w:w="691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CHAPTER 5: CONCLUSION, FUTURE WORK AND REFLECTION</w:t>
            </w:r>
          </w:p>
        </w:tc>
        <w:tc>
          <w:tcPr>
            <w:tcW w:type="dxa" w:w="1296"/>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23</w:t>
            </w:r>
          </w:p>
        </w:tc>
      </w:tr>
      <w:tr>
        <w:trPr>
          <w:cantSplit/>
        </w:trPr>
        <w:tc>
          <w:tcPr>
            <w:tcW w:type="dxa" w:w="115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r>
          </w:p>
        </w:tc>
        <w:tc>
          <w:tcPr>
            <w:tcW w:type="dxa" w:w="691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REFERENCES</w:t>
            </w:r>
          </w:p>
        </w:tc>
        <w:tc>
          <w:tcPr>
            <w:tcW w:type="dxa" w:w="1296"/>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27</w:t>
            </w:r>
          </w:p>
        </w:tc>
      </w:tr>
      <w:tr>
        <w:trPr>
          <w:cantSplit/>
        </w:trPr>
        <w:tc>
          <w:tcPr>
            <w:tcW w:type="dxa" w:w="115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r>
          </w:p>
        </w:tc>
        <w:tc>
          <w:tcPr>
            <w:tcW w:type="dxa" w:w="691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APPENDICES</w:t>
            </w:r>
          </w:p>
        </w:tc>
        <w:tc>
          <w:tcPr>
            <w:tcW w:type="dxa" w:w="1296"/>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29</w:t>
            </w:r>
          </w:p>
        </w:tc>
      </w:tr>
      <w:tr>
        <w:trPr>
          <w:cantSplit/>
        </w:trPr>
        <w:tc>
          <w:tcPr>
            <w:tcW w:type="dxa" w:w="115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r>
          </w:p>
        </w:tc>
        <w:tc>
          <w:tcPr>
            <w:tcW w:type="dxa" w:w="691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CAPSTONE PROJECT OUTCOME MAPPING SHEET</w:t>
            </w:r>
          </w:p>
        </w:tc>
        <w:tc>
          <w:tcPr>
            <w:tcW w:type="dxa" w:w="1296"/>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33</w:t>
            </w:r>
          </w:p>
        </w:tc>
      </w:tr>
    </w:tbl>
    <w:p>
      <w:r>
        <w:br w:type="page"/>
      </w:r>
    </w:p>
    <w:p>
      <w:pPr>
        <w:spacing w:before="240" w:after="360" w:line="276" w:lineRule="auto"/>
        <w:jc w:val="center"/>
      </w:pPr>
      <w:r>
        <w:rPr>
          <w:rFonts w:ascii="Times New Roman" w:hAnsi="Times New Roman"/>
          <w:b/>
          <w:color w:val="000000"/>
          <w:sz w:val="24"/>
        </w:rPr>
        <w:t>LIST OF FIGURES</w:t>
      </w:r>
    </w:p>
    <w:tbl>
      <w:tblPr>
        <w:tblW w:type="auto" w:w="0"/>
        <w:jc w:val="center"/>
        <w:tblLook w:firstColumn="1" w:firstRow="1" w:lastColumn="0" w:lastRow="0" w:noHBand="0" w:noVBand="1" w:val="04A0"/>
      </w:tblPr>
      <w:tblGrid>
        <w:gridCol w:w="3120"/>
        <w:gridCol w:w="3120"/>
        <w:gridCol w:w="3120"/>
      </w:tblGrid>
      <w:tr>
        <w:trPr>
          <w:cantSplit/>
        </w:trPr>
        <w:tc>
          <w:tcPr>
            <w:tcW w:type="dxa" w:w="1440"/>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b/>
                <w:color w:val="000000"/>
                <w:sz w:val="24"/>
              </w:rPr>
              <w:t>Figure No.</w:t>
            </w:r>
          </w:p>
        </w:tc>
        <w:tc>
          <w:tcPr>
            <w:tcW w:type="dxa" w:w="6624"/>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b/>
                <w:color w:val="000000"/>
                <w:sz w:val="24"/>
              </w:rPr>
              <w:t>Figure Name</w:t>
            </w:r>
          </w:p>
        </w:tc>
        <w:tc>
          <w:tcPr>
            <w:tcW w:type="dxa" w:w="1296"/>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b/>
                <w:color w:val="000000"/>
                <w:sz w:val="24"/>
              </w:rPr>
              <w:t>Page No.</w:t>
            </w:r>
          </w:p>
        </w:tc>
      </w:tr>
      <w:tr>
        <w:trPr>
          <w:cantSplit/>
        </w:trPr>
        <w:tc>
          <w:tcPr>
            <w:tcW w:type="dxa" w:w="1440"/>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1.1</w:t>
            </w:r>
          </w:p>
        </w:tc>
        <w:tc>
          <w:tcPr>
            <w:tcW w:type="dxa" w:w="6624"/>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Layered Cloud-Native System Architecture</w:t>
            </w:r>
          </w:p>
        </w:tc>
        <w:tc>
          <w:tcPr>
            <w:tcW w:type="dxa" w:w="1296"/>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3</w:t>
            </w:r>
          </w:p>
        </w:tc>
      </w:tr>
      <w:tr>
        <w:trPr>
          <w:cantSplit/>
        </w:trPr>
        <w:tc>
          <w:tcPr>
            <w:tcW w:type="dxa" w:w="1440"/>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1.2</w:t>
            </w:r>
          </w:p>
        </w:tc>
        <w:tc>
          <w:tcPr>
            <w:tcW w:type="dxa" w:w="6624"/>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GIS Pipeline Network Map and Pressure Zoning</w:t>
            </w:r>
          </w:p>
        </w:tc>
        <w:tc>
          <w:tcPr>
            <w:tcW w:type="dxa" w:w="1296"/>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4</w:t>
            </w:r>
          </w:p>
        </w:tc>
      </w:tr>
      <w:tr>
        <w:trPr>
          <w:cantSplit/>
        </w:trPr>
        <w:tc>
          <w:tcPr>
            <w:tcW w:type="dxa" w:w="1440"/>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4.1</w:t>
            </w:r>
          </w:p>
        </w:tc>
        <w:tc>
          <w:tcPr>
            <w:tcW w:type="dxa" w:w="6624"/>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SCADA Control Console and Real-Time Telemetry Screen</w:t>
            </w:r>
          </w:p>
        </w:tc>
        <w:tc>
          <w:tcPr>
            <w:tcW w:type="dxa" w:w="1296"/>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18</w:t>
            </w:r>
          </w:p>
        </w:tc>
      </w:tr>
      <w:tr>
        <w:trPr>
          <w:cantSplit/>
        </w:trPr>
        <w:tc>
          <w:tcPr>
            <w:tcW w:type="dxa" w:w="1440"/>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4.2</w:t>
            </w:r>
          </w:p>
        </w:tc>
        <w:tc>
          <w:tcPr>
            <w:tcW w:type="dxa" w:w="6624"/>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AI Anomaly Detection and Leakage Localization Dashboard</w:t>
            </w:r>
          </w:p>
        </w:tc>
        <w:tc>
          <w:tcPr>
            <w:tcW w:type="dxa" w:w="1296"/>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20</w:t>
            </w:r>
          </w:p>
        </w:tc>
      </w:tr>
    </w:tbl>
    <w:p>
      <w:pPr>
        <w:spacing w:before="0" w:after="360" w:line="276" w:lineRule="auto"/>
        <w:jc w:val="left"/>
      </w:pPr>
    </w:p>
    <w:p>
      <w:pPr>
        <w:spacing w:before="360" w:after="360" w:line="276" w:lineRule="auto"/>
        <w:jc w:val="center"/>
      </w:pPr>
      <w:r>
        <w:rPr>
          <w:rFonts w:ascii="Times New Roman" w:hAnsi="Times New Roman"/>
          <w:b/>
          <w:color w:val="000000"/>
          <w:sz w:val="24"/>
        </w:rPr>
        <w:t>LIST OF TABLES</w:t>
      </w:r>
    </w:p>
    <w:tbl>
      <w:tblPr>
        <w:tblW w:type="auto" w:w="0"/>
        <w:jc w:val="center"/>
        <w:tblLook w:firstColumn="1" w:firstRow="1" w:lastColumn="0" w:lastRow="0" w:noHBand="0" w:noVBand="1" w:val="04A0"/>
      </w:tblPr>
      <w:tblGrid>
        <w:gridCol w:w="3120"/>
        <w:gridCol w:w="3120"/>
        <w:gridCol w:w="3120"/>
      </w:tblGrid>
      <w:tr>
        <w:trPr>
          <w:cantSplit/>
        </w:trPr>
        <w:tc>
          <w:tcPr>
            <w:tcW w:type="dxa" w:w="1440"/>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b/>
                <w:color w:val="000000"/>
                <w:sz w:val="24"/>
              </w:rPr>
              <w:t>Table No.</w:t>
            </w:r>
          </w:p>
        </w:tc>
        <w:tc>
          <w:tcPr>
            <w:tcW w:type="dxa" w:w="6624"/>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b/>
                <w:color w:val="000000"/>
                <w:sz w:val="24"/>
              </w:rPr>
              <w:t>Table Name</w:t>
            </w:r>
          </w:p>
        </w:tc>
        <w:tc>
          <w:tcPr>
            <w:tcW w:type="dxa" w:w="1296"/>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b/>
                <w:color w:val="000000"/>
                <w:sz w:val="24"/>
              </w:rPr>
              <w:t>Page No.</w:t>
            </w:r>
          </w:p>
        </w:tc>
      </w:tr>
      <w:tr>
        <w:trPr>
          <w:cantSplit/>
        </w:trPr>
        <w:tc>
          <w:tcPr>
            <w:tcW w:type="dxa" w:w="1440"/>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2.1</w:t>
            </w:r>
          </w:p>
        </w:tc>
        <w:tc>
          <w:tcPr>
            <w:tcW w:type="dxa" w:w="6624"/>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Comparative Analysis of Existing Water Monitoring Approaches</w:t>
            </w:r>
          </w:p>
        </w:tc>
        <w:tc>
          <w:tcPr>
            <w:tcW w:type="dxa" w:w="1296"/>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7</w:t>
            </w:r>
          </w:p>
        </w:tc>
      </w:tr>
      <w:tr>
        <w:trPr>
          <w:cantSplit/>
        </w:trPr>
        <w:tc>
          <w:tcPr>
            <w:tcW w:type="dxa" w:w="1440"/>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3.1</w:t>
            </w:r>
          </w:p>
        </w:tc>
        <w:tc>
          <w:tcPr>
            <w:tcW w:type="dxa" w:w="6624"/>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Stakeholder / User Requirements Specification</w:t>
            </w:r>
          </w:p>
        </w:tc>
        <w:tc>
          <w:tcPr>
            <w:tcW w:type="dxa" w:w="1296"/>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9</w:t>
            </w:r>
          </w:p>
        </w:tc>
      </w:tr>
      <w:tr>
        <w:trPr>
          <w:cantSplit/>
        </w:trPr>
        <w:tc>
          <w:tcPr>
            <w:tcW w:type="dxa" w:w="1440"/>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3.2</w:t>
            </w:r>
          </w:p>
        </w:tc>
        <w:tc>
          <w:tcPr>
            <w:tcW w:type="dxa" w:w="6624"/>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Functional &amp; Non-Functional Requirements Matrix</w:t>
            </w:r>
          </w:p>
        </w:tc>
        <w:tc>
          <w:tcPr>
            <w:tcW w:type="dxa" w:w="1296"/>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10</w:t>
            </w:r>
          </w:p>
        </w:tc>
      </w:tr>
      <w:tr>
        <w:trPr>
          <w:cantSplit/>
        </w:trPr>
        <w:tc>
          <w:tcPr>
            <w:tcW w:type="dxa" w:w="1440"/>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3.3</w:t>
            </w:r>
          </w:p>
        </w:tc>
        <w:tc>
          <w:tcPr>
            <w:tcW w:type="dxa" w:w="6624"/>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Alternative Architectural Solutions &amp; Multi-Criteria Decision Matrix</w:t>
            </w:r>
          </w:p>
        </w:tc>
        <w:tc>
          <w:tcPr>
            <w:tcW w:type="dxa" w:w="1296"/>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12</w:t>
            </w:r>
          </w:p>
        </w:tc>
      </w:tr>
      <w:tr>
        <w:trPr>
          <w:cantSplit/>
        </w:trPr>
        <w:tc>
          <w:tcPr>
            <w:tcW w:type="dxa" w:w="1440"/>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3.4</w:t>
            </w:r>
          </w:p>
        </w:tc>
        <w:tc>
          <w:tcPr>
            <w:tcW w:type="dxa" w:w="6624"/>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Comprehensive Engineering Risk Register and Mitigation Strategy</w:t>
            </w:r>
          </w:p>
        </w:tc>
        <w:tc>
          <w:tcPr>
            <w:tcW w:type="dxa" w:w="1296"/>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15</w:t>
            </w:r>
          </w:p>
        </w:tc>
      </w:tr>
    </w:tbl>
    <w:p>
      <w:r>
        <w:br w:type="page"/>
      </w:r>
    </w:p>
    <w:p>
      <w:pPr>
        <w:spacing w:before="240" w:after="360" w:line="276" w:lineRule="auto"/>
        <w:jc w:val="center"/>
      </w:pPr>
      <w:r>
        <w:rPr>
          <w:rFonts w:ascii="Times New Roman" w:hAnsi="Times New Roman"/>
          <w:b/>
          <w:color w:val="000000"/>
          <w:sz w:val="24"/>
        </w:rPr>
        <w:t>LIST OF ABBREVIATIONS / SYMBOLS</w:t>
      </w:r>
    </w:p>
    <w:tbl>
      <w:tblPr>
        <w:tblW w:type="auto" w:w="0"/>
        <w:jc w:val="center"/>
        <w:tblLook w:firstColumn="1" w:firstRow="1" w:lastColumn="0" w:lastRow="0" w:noHBand="0" w:noVBand="1" w:val="04A0"/>
      </w:tblPr>
      <w:tblGrid>
        <w:gridCol w:w="3120"/>
        <w:gridCol w:w="3120"/>
        <w:gridCol w:w="3120"/>
      </w:tblGrid>
      <w:tr>
        <w:trPr>
          <w:cantSplit/>
        </w:trPr>
        <w:tc>
          <w:tcPr>
            <w:tcW w:type="dxa" w:w="2160"/>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b/>
                <w:color w:val="000000"/>
                <w:sz w:val="24"/>
              </w:rPr>
              <w:t>Symbol / Acronym</w:t>
            </w:r>
          </w:p>
        </w:tc>
        <w:tc>
          <w:tcPr>
            <w:tcW w:type="dxa" w:w="547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b/>
                <w:color w:val="000000"/>
                <w:sz w:val="24"/>
              </w:rPr>
              <w:t>Description</w:t>
            </w:r>
          </w:p>
        </w:tc>
        <w:tc>
          <w:tcPr>
            <w:tcW w:type="dxa" w:w="1728"/>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b/>
                <w:color w:val="000000"/>
                <w:sz w:val="24"/>
              </w:rPr>
              <w:t>Standard Unit</w:t>
            </w:r>
          </w:p>
        </w:tc>
      </w:tr>
      <w:tr>
        <w:trPr>
          <w:cantSplit/>
        </w:trPr>
        <w:tc>
          <w:tcPr>
            <w:tcW w:type="dxa" w:w="2160"/>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NRW</w:t>
            </w:r>
          </w:p>
        </w:tc>
        <w:tc>
          <w:tcPr>
            <w:tcW w:type="dxa" w:w="547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Non-Revenue Water (unbilled and leaked water supply)</w:t>
            </w:r>
          </w:p>
        </w:tc>
        <w:tc>
          <w:tcPr>
            <w:tcW w:type="dxa" w:w="1728"/>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Percentage (%) / m3</w:t>
            </w:r>
          </w:p>
        </w:tc>
      </w:tr>
      <w:tr>
        <w:trPr>
          <w:cantSplit/>
        </w:trPr>
        <w:tc>
          <w:tcPr>
            <w:tcW w:type="dxa" w:w="2160"/>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SCADA</w:t>
            </w:r>
          </w:p>
        </w:tc>
        <w:tc>
          <w:tcPr>
            <w:tcW w:type="dxa" w:w="547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Supervisory Control and Data Acquisition</w:t>
            </w:r>
          </w:p>
        </w:tc>
        <w:tc>
          <w:tcPr>
            <w:tcW w:type="dxa" w:w="1728"/>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N/A</w:t>
            </w:r>
          </w:p>
        </w:tc>
      </w:tr>
      <w:tr>
        <w:trPr>
          <w:cantSplit/>
        </w:trPr>
        <w:tc>
          <w:tcPr>
            <w:tcW w:type="dxa" w:w="2160"/>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IoT</w:t>
            </w:r>
          </w:p>
        </w:tc>
        <w:tc>
          <w:tcPr>
            <w:tcW w:type="dxa" w:w="547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Internet of Things</w:t>
            </w:r>
          </w:p>
        </w:tc>
        <w:tc>
          <w:tcPr>
            <w:tcW w:type="dxa" w:w="1728"/>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N/A</w:t>
            </w:r>
          </w:p>
        </w:tc>
      </w:tr>
      <w:tr>
        <w:trPr>
          <w:cantSplit/>
        </w:trPr>
        <w:tc>
          <w:tcPr>
            <w:tcW w:type="dxa" w:w="2160"/>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Bi-LSTM</w:t>
            </w:r>
          </w:p>
        </w:tc>
        <w:tc>
          <w:tcPr>
            <w:tcW w:type="dxa" w:w="547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Bidirectional Long Short-Term Memory Neural Network</w:t>
            </w:r>
          </w:p>
        </w:tc>
        <w:tc>
          <w:tcPr>
            <w:tcW w:type="dxa" w:w="1728"/>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N/A</w:t>
            </w:r>
          </w:p>
        </w:tc>
      </w:tr>
      <w:tr>
        <w:trPr>
          <w:cantSplit/>
        </w:trPr>
        <w:tc>
          <w:tcPr>
            <w:tcW w:type="dxa" w:w="2160"/>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ST-GNN</w:t>
            </w:r>
          </w:p>
        </w:tc>
        <w:tc>
          <w:tcPr>
            <w:tcW w:type="dxa" w:w="547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Spatial-Temporal Graph Neural Network</w:t>
            </w:r>
          </w:p>
        </w:tc>
        <w:tc>
          <w:tcPr>
            <w:tcW w:type="dxa" w:w="1728"/>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N/A</w:t>
            </w:r>
          </w:p>
        </w:tc>
      </w:tr>
      <w:tr>
        <w:trPr>
          <w:cantSplit/>
        </w:trPr>
        <w:tc>
          <w:tcPr>
            <w:tcW w:type="dxa" w:w="2160"/>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MQTT</w:t>
            </w:r>
          </w:p>
        </w:tc>
        <w:tc>
          <w:tcPr>
            <w:tcW w:type="dxa" w:w="547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Message Queuing Telemetry Transport Protocol</w:t>
            </w:r>
          </w:p>
        </w:tc>
        <w:tc>
          <w:tcPr>
            <w:tcW w:type="dxa" w:w="1728"/>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N/A</w:t>
            </w:r>
          </w:p>
        </w:tc>
      </w:tr>
      <w:tr>
        <w:trPr>
          <w:cantSplit/>
        </w:trPr>
        <w:tc>
          <w:tcPr>
            <w:tcW w:type="dxa" w:w="2160"/>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Q</w:t>
            </w:r>
          </w:p>
        </w:tc>
        <w:tc>
          <w:tcPr>
            <w:tcW w:type="dxa" w:w="547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Volumetric Flow Rate</w:t>
            </w:r>
          </w:p>
        </w:tc>
        <w:tc>
          <w:tcPr>
            <w:tcW w:type="dxa" w:w="1728"/>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Liters per minute (L/min) / m3/h</w:t>
            </w:r>
          </w:p>
        </w:tc>
      </w:tr>
      <w:tr>
        <w:trPr>
          <w:cantSplit/>
        </w:trPr>
        <w:tc>
          <w:tcPr>
            <w:tcW w:type="dxa" w:w="2160"/>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P</w:t>
            </w:r>
          </w:p>
        </w:tc>
        <w:tc>
          <w:tcPr>
            <w:tcW w:type="dxa" w:w="547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Hydraulic Head / Fluid Pressure</w:t>
            </w:r>
          </w:p>
        </w:tc>
        <w:tc>
          <w:tcPr>
            <w:tcW w:type="dxa" w:w="1728"/>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Pascals (Pa) / Bar / psi</w:t>
            </w:r>
          </w:p>
        </w:tc>
      </w:tr>
      <w:tr>
        <w:trPr>
          <w:cantSplit/>
        </w:trPr>
        <w:tc>
          <w:tcPr>
            <w:tcW w:type="dxa" w:w="2160"/>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v</w:t>
            </w:r>
          </w:p>
        </w:tc>
        <w:tc>
          <w:tcPr>
            <w:tcW w:type="dxa" w:w="547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Fluid Velocity in Pipeline</w:t>
            </w:r>
          </w:p>
        </w:tc>
        <w:tc>
          <w:tcPr>
            <w:tcW w:type="dxa" w:w="1728"/>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Meters per second (m/s)</w:t>
            </w:r>
          </w:p>
        </w:tc>
      </w:tr>
      <w:tr>
        <w:trPr>
          <w:cantSplit/>
        </w:trPr>
        <w:tc>
          <w:tcPr>
            <w:tcW w:type="dxa" w:w="2160"/>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D</w:t>
            </w:r>
          </w:p>
        </w:tc>
        <w:tc>
          <w:tcPr>
            <w:tcW w:type="dxa" w:w="547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Pipe Internal Diameter</w:t>
            </w:r>
          </w:p>
        </w:tc>
        <w:tc>
          <w:tcPr>
            <w:tcW w:type="dxa" w:w="1728"/>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Millimeters (mm)</w:t>
            </w:r>
          </w:p>
        </w:tc>
      </w:tr>
      <w:tr>
        <w:trPr>
          <w:cantSplit/>
        </w:trPr>
        <w:tc>
          <w:tcPr>
            <w:tcW w:type="dxa" w:w="2160"/>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a</w:t>
            </w:r>
          </w:p>
        </w:tc>
        <w:tc>
          <w:tcPr>
            <w:tcW w:type="dxa" w:w="547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Acoustic / Pressure Wave Speed in Water Medium</w:t>
            </w:r>
          </w:p>
        </w:tc>
        <w:tc>
          <w:tcPr>
            <w:tcW w:type="dxa" w:w="1728"/>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Meters per second (m/s)</w:t>
            </w:r>
          </w:p>
        </w:tc>
      </w:tr>
      <w:tr>
        <w:trPr>
          <w:cantSplit/>
        </w:trPr>
        <w:tc>
          <w:tcPr>
            <w:tcW w:type="dxa" w:w="2160"/>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ΔP</w:t>
            </w:r>
          </w:p>
        </w:tc>
        <w:tc>
          <w:tcPr>
            <w:tcW w:type="dxa" w:w="547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Pressure Differential across Sensor Segment</w:t>
            </w:r>
          </w:p>
        </w:tc>
        <w:tc>
          <w:tcPr>
            <w:tcW w:type="dxa" w:w="1728"/>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Kilopascals (kPa) / Bar</w:t>
            </w:r>
          </w:p>
        </w:tc>
      </w:tr>
      <w:tr>
        <w:trPr>
          <w:cantSplit/>
        </w:trPr>
        <w:tc>
          <w:tcPr>
            <w:tcW w:type="dxa" w:w="2160"/>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EPANET</w:t>
            </w:r>
          </w:p>
        </w:tc>
        <w:tc>
          <w:tcPr>
            <w:tcW w:type="dxa" w:w="547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Hydraulic Network Simulation Engine (US EPA)</w:t>
            </w:r>
          </w:p>
        </w:tc>
        <w:tc>
          <w:tcPr>
            <w:tcW w:type="dxa" w:w="1728"/>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N/A</w:t>
            </w:r>
          </w:p>
        </w:tc>
      </w:tr>
      <w:tr>
        <w:trPr>
          <w:cantSplit/>
        </w:trPr>
        <w:tc>
          <w:tcPr>
            <w:tcW w:type="dxa" w:w="2160"/>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GIS</w:t>
            </w:r>
          </w:p>
        </w:tc>
        <w:tc>
          <w:tcPr>
            <w:tcW w:type="dxa" w:w="547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Geographic Information System</w:t>
            </w:r>
          </w:p>
        </w:tc>
        <w:tc>
          <w:tcPr>
            <w:tcW w:type="dxa" w:w="1728"/>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N/A</w:t>
            </w:r>
          </w:p>
        </w:tc>
      </w:tr>
      <w:tr>
        <w:trPr>
          <w:cantSplit/>
        </w:trPr>
        <w:tc>
          <w:tcPr>
            <w:tcW w:type="dxa" w:w="2160"/>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K8s</w:t>
            </w:r>
          </w:p>
        </w:tc>
        <w:tc>
          <w:tcPr>
            <w:tcW w:type="dxa" w:w="547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Kubernetes Container Orchestration Platform</w:t>
            </w:r>
          </w:p>
        </w:tc>
        <w:tc>
          <w:tcPr>
            <w:tcW w:type="dxa" w:w="1728"/>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N/A</w:t>
            </w:r>
          </w:p>
        </w:tc>
      </w:tr>
    </w:tbl>
    <w:p>
      <w:r>
        <w:br w:type="page"/>
      </w:r>
    </w:p>
    <w:p>
      <w:pPr>
        <w:spacing w:before="240" w:after="40" w:line="276" w:lineRule="auto"/>
        <w:jc w:val="center"/>
      </w:pPr>
      <w:r>
        <w:rPr>
          <w:rFonts w:ascii="Times New Roman" w:hAnsi="Times New Roman"/>
          <w:b/>
          <w:color w:val="000000"/>
          <w:sz w:val="24"/>
        </w:rPr>
        <w:t>CHAPTER 1</w:t>
      </w:r>
    </w:p>
    <w:p>
      <w:pPr>
        <w:spacing w:before="40" w:after="360" w:line="276" w:lineRule="auto"/>
        <w:jc w:val="center"/>
      </w:pPr>
      <w:r>
        <w:rPr>
          <w:rFonts w:ascii="Times New Roman" w:hAnsi="Times New Roman"/>
          <w:b/>
          <w:color w:val="000000"/>
          <w:sz w:val="24"/>
        </w:rPr>
        <w:t>INTRODUCTION AND ENGINEERING PROBLEM</w:t>
      </w:r>
    </w:p>
    <w:p>
      <w:pPr>
        <w:spacing w:before="240" w:after="120" w:line="276" w:lineRule="auto"/>
        <w:jc w:val="left"/>
      </w:pPr>
      <w:r>
        <w:rPr>
          <w:rFonts w:ascii="Times New Roman" w:hAnsi="Times New Roman"/>
          <w:b/>
          <w:color w:val="000000"/>
          <w:sz w:val="24"/>
        </w:rPr>
        <w:t>1.1 Background</w:t>
      </w:r>
    </w:p>
    <w:p>
      <w:pPr>
        <w:spacing w:before="0" w:after="120" w:line="276" w:lineRule="auto"/>
        <w:jc w:val="both"/>
      </w:pPr>
      <w:r>
        <w:rPr>
          <w:rFonts w:ascii="Times New Roman" w:hAnsi="Times New Roman"/>
          <w:b w:val="0"/>
          <w:color w:val="000000"/>
          <w:sz w:val="24"/>
        </w:rPr>
        <w:t>Water distribution networks (WDNs) constitute one of the most vital civil infrastructure lifelines of modern civilization, directly sustaining domestic consumption, industrial productivity, public hygiene, and urban fire safety. A typical municipal WDN comprises a sprawling, interconnected network of primary transmission mains, distribution branches, pumping stations, water storage towers, and automated control valves. In contemporary urban environments, these underground piping matrices stretch over tens of thousands of kilometers, operating under continuous, dynamic pressures to guarantee adequate service to varying demographic settlements. Over recent decades, rapid urbanization, changing climate patterns, and stringent environmental regulations have elevated the technical and operational complexity of maintaining these distribution grids at optimal hydraulic equilibrium.</w:t>
      </w:r>
    </w:p>
    <w:p>
      <w:pPr>
        <w:spacing w:before="0" w:after="120" w:line="276" w:lineRule="auto"/>
        <w:jc w:val="both"/>
      </w:pPr>
      <w:r>
        <w:rPr>
          <w:rFonts w:ascii="Times New Roman" w:hAnsi="Times New Roman"/>
          <w:b w:val="0"/>
          <w:color w:val="000000"/>
          <w:sz w:val="24"/>
        </w:rPr>
        <w:t>Historically, water utility operations have relied on legacy Supervisory Control and Data Acquisition (SCADA) platforms and manual field surveys. These traditional setups capture bulk flow measurements and basic reservoir levels at coarse temporal intervals ranging from fifteen minutes to several hours. In contrast, modern cyber-physical systems exploit ubiquitous industrial Internet of Things (IoT) sensors, edge computational devices, and cloud computing infrastructure. Cloud computing and big data analytics enable continuous, high-frequency telemetry ingestion (sub-second frequency), elastic horizontal compute scaling, real-time spatial analytics, and machine learning inference. Transitioning from antiquated telemetry to cloud-native frameworks empowers municipal water authorities to monitor network-wide hydraulic gradients in real time, shifting operations from reactive crisis remediation to proactive, data-driven network management.</w:t>
      </w:r>
    </w:p>
    <w:p>
      <w:pPr>
        <w:spacing w:before="240" w:after="120" w:line="276" w:lineRule="auto"/>
        <w:jc w:val="left"/>
      </w:pPr>
      <w:r>
        <w:rPr>
          <w:rFonts w:ascii="Times New Roman" w:hAnsi="Times New Roman"/>
          <w:b/>
          <w:color w:val="000000"/>
          <w:sz w:val="24"/>
        </w:rPr>
        <w:t>1.2 Need for the Project</w:t>
      </w:r>
    </w:p>
    <w:p>
      <w:pPr>
        <w:spacing w:before="0" w:after="120" w:line="276" w:lineRule="auto"/>
        <w:jc w:val="both"/>
      </w:pPr>
      <w:r>
        <w:rPr>
          <w:rFonts w:ascii="Times New Roman" w:hAnsi="Times New Roman"/>
          <w:b w:val="0"/>
          <w:color w:val="000000"/>
          <w:sz w:val="24"/>
        </w:rPr>
        <w:t>The pressing imperative for this project stems from staggering physical water loss, infrastructure deterioration, and acute resource mismanagement globally known as Non-Revenue Water (NRW). NRW encompasses water that has been treated and pumped into the municipal grid but is lost before reaching the customer due to physical underground pipe leaks, fractures, bursts, background seepage, metering inaccuracies, or unauthorized consumption. According to World Bank assessments, more than 32 billion cubic meters of treated drinking water are lost every year through physical distribution leakages alone, causing direct financial losses exceeding $39 billion annually. In many developing metropolitan regions across Asia, Latin America, and Africa, physical water losses regularly exceed 35% to 50% of the aggregate municipal supply.</w:t>
      </w:r>
    </w:p>
    <w:p>
      <w:pPr>
        <w:spacing w:before="0" w:after="120" w:line="276" w:lineRule="auto"/>
        <w:jc w:val="both"/>
      </w:pPr>
      <w:r>
        <w:rPr>
          <w:rFonts w:ascii="Times New Roman" w:hAnsi="Times New Roman"/>
          <w:b w:val="0"/>
          <w:color w:val="000000"/>
          <w:sz w:val="24"/>
        </w:rPr>
        <w:t>The consequences of unresolved water distribution leakages extend across multiple critical domains:</w:t>
        <w:br/>
        <w:t>• Municipal Utilities and Local Governments: Face catastrophic revenue loss, inflated electrical pumping costs, accelerated physical asset depreciation, and excessive road damage caused by subterranean water scouring.</w:t>
        <w:br/>
        <w:t>• Urban Citizens and Vulnerable Populations: Suffer from chronic water rationing, depressed delivery pressure, and catastrophic biological contamination, as subterranean negative pressure transients draw pathogenic groundwater and sewer contaminants into cracked pipes.</w:t>
        <w:br/>
        <w:t>• Environmental Ecosystems: Experience severe depletion of freshwater aquifers and rivers, accompanied by wasted greenhouse gas emissions generated during water treatment and pumping.</w:t>
        <w:br/>
        <w:t>Existing limitations of conventional monitoring tools include high cost, prohibitive latency, lack of spatial localization granularity, and proprietary vendor lock-in. Engineering significance lies in creating an open-standard, cloud-native architecture capable of ingesting high-velocity hydraulic telemetry and running autonomous anomaly detection to pinpoint pipeline breaches within minutes.</w:t>
      </w:r>
    </w:p>
    <w:p>
      <w:pPr>
        <w:spacing w:before="240" w:after="120" w:line="276" w:lineRule="auto"/>
        <w:jc w:val="left"/>
      </w:pPr>
      <w:r>
        <w:rPr>
          <w:rFonts w:ascii="Times New Roman" w:hAnsi="Times New Roman"/>
          <w:b/>
          <w:color w:val="000000"/>
          <w:sz w:val="24"/>
        </w:rPr>
        <w:t>1.3 Problem Statement</w:t>
      </w:r>
    </w:p>
    <w:p>
      <w:pPr>
        <w:spacing w:before="0" w:after="120" w:line="276" w:lineRule="auto"/>
        <w:jc w:val="both"/>
      </w:pPr>
      <w:r>
        <w:rPr>
          <w:rFonts w:ascii="Times New Roman" w:hAnsi="Times New Roman"/>
          <w:b w:val="0"/>
          <w:color w:val="000000"/>
          <w:sz w:val="24"/>
        </w:rPr>
        <w:t>Conventional municipal water distribution systems lack real-time visibility, automated transient capture, and localized fault isolation, resulting in delayed burst detection (frequently exceeding 5 to 14 days), staggering Non-Revenue Water volumetric losses, and high risk of water contamination. Existing monitoring architectures rely on closed, vendor-dependent SCADA systems that cannot scale elastically to process high-frequency (10–100 Hz) acoustic and pressure transients across tens of thousands of distributed IoT nodes. Furthermore, hydraulic networks exhibit complex non-linear dynamics where diurnal consumption swings, pressure fluctuations, and stochastic valve actions mask incipient leak signatures, rendering simple rule-based thresholds entirely ineffective and prone to overwhelming false-positive alarms. The core engineering problem is to architect, implement, and validate an open, cloud-native, horizontally scalable cyber-physical monitoring platform that continuously ingests multi-sensor telemetry, isolates transient hydraulic anomalies in sub-second latency, localizes pipe fractures within a 3-meter spatial tolerance under realistic hydraulic constraints, and provides end-to-end operational visibility via an interactive GIS-enabled SCADA console.</w:t>
      </w:r>
    </w:p>
    <w:p>
      <w:pPr>
        <w:spacing w:before="240" w:after="120" w:line="276" w:lineRule="auto"/>
        <w:jc w:val="left"/>
      </w:pPr>
      <w:r>
        <w:rPr>
          <w:rFonts w:ascii="Times New Roman" w:hAnsi="Times New Roman"/>
          <w:b/>
          <w:color w:val="000000"/>
          <w:sz w:val="24"/>
        </w:rPr>
        <w:t>1.4 Project Aim</w:t>
      </w:r>
    </w:p>
    <w:p>
      <w:pPr>
        <w:spacing w:before="0" w:after="120" w:line="276" w:lineRule="auto"/>
        <w:jc w:val="both"/>
      </w:pPr>
      <w:r>
        <w:rPr>
          <w:rFonts w:ascii="Times New Roman" w:hAnsi="Times New Roman"/>
          <w:b w:val="0"/>
          <w:color w:val="000000"/>
          <w:sz w:val="24"/>
        </w:rPr>
        <w:t>The overall aim of this capstone project is to develop and deploy a robust, horizontally scalable, and cost-effective Cloud-Native Smart Water Distribution Monitoring and Leakage Detection Platform that integrates IoT telemetry, distributed big data streaming, hybrid artificial intelligence models, and geospatial tracking to achieve real-time pipeline monitoring, rapid leak detection, and precise spatial rupture localization.</w:t>
      </w:r>
    </w:p>
    <w:p>
      <w:pPr>
        <w:spacing w:before="240" w:after="120" w:line="276" w:lineRule="auto"/>
        <w:jc w:val="left"/>
      </w:pPr>
      <w:r>
        <w:rPr>
          <w:rFonts w:ascii="Times New Roman" w:hAnsi="Times New Roman"/>
          <w:b/>
          <w:color w:val="000000"/>
          <w:sz w:val="24"/>
        </w:rPr>
        <w:t>1.5 Project Objectives</w:t>
      </w:r>
    </w:p>
    <w:p>
      <w:pPr>
        <w:spacing w:before="0" w:after="120" w:line="276" w:lineRule="auto"/>
        <w:jc w:val="both"/>
      </w:pPr>
      <w:r>
        <w:rPr>
          <w:rFonts w:ascii="Times New Roman" w:hAnsi="Times New Roman"/>
          <w:b w:val="0"/>
          <w:color w:val="000000"/>
          <w:sz w:val="24"/>
        </w:rPr>
        <w:t>The project is structured around five measurable, engineering-focused objectives:</w:t>
        <w:br/>
        <w:t>1. To design and construct an industrial-grade edge IoT sensing and ingestion gateway utilizing MQTT protocols over TLS to capture fluid pressure, volumetric flow, and vibration telemetry at 50 Hz sampling rates with battery-efficient edge sleep cycles.</w:t>
        <w:br/>
        <w:t>2. To architect and deploy an elastic, distributed Big Data streaming pipeline leveraging Apache Kafka, Apache Spark Streaming, and MinIO/Ceph cloud storage capable of processing over 10,000 telemetry events per second with an end-to-end latency of under 500 milliseconds.</w:t>
        <w:br/>
        <w:t>3. To model, train, and validate a hybrid Artificial Intelligence anomaly detection engine utilizing Bidirectional Long Short-Term Memory (Bi-LSTM) Autoencoders combined with Spatial-Temporal Graph Neural Networks (ST-GNN) to identify incipient leaks with an F1-score exceeding 95% while suppressing false-positive rates below 2%.</w:t>
        <w:br/>
        <w:t>4. To formulate and implement a hydraulic transient wave and acoustic time-difference-of-arrival (TDOA) cross-correlation localization algorithm capable of pinpointing pipe rupture locations within a spatial radial tolerance of less than 3 meters.</w:t>
        <w:br/>
        <w:t>5. To implement and deploy a containerized, cloud-native microservices backend orchestrated via Kubernetes, complete with an interactive, GIS-based Web SCADA monitoring dashboard providing automated alert dispatch, automated valve actuator control, and comprehensive network health analytics.</w:t>
      </w:r>
    </w:p>
    <w:p>
      <w:pPr>
        <w:spacing w:before="240" w:after="120" w:line="276" w:lineRule="auto"/>
        <w:jc w:val="left"/>
      </w:pPr>
      <w:r>
        <w:rPr>
          <w:rFonts w:ascii="Times New Roman" w:hAnsi="Times New Roman"/>
          <w:b/>
          <w:color w:val="000000"/>
          <w:sz w:val="24"/>
        </w:rPr>
        <w:t>1.6 Scope</w:t>
      </w:r>
    </w:p>
    <w:p>
      <w:pPr>
        <w:spacing w:before="0" w:after="120" w:line="276" w:lineRule="auto"/>
        <w:jc w:val="both"/>
      </w:pPr>
      <w:r>
        <w:rPr>
          <w:rFonts w:ascii="Times New Roman" w:hAnsi="Times New Roman"/>
          <w:b w:val="0"/>
          <w:color w:val="000000"/>
          <w:sz w:val="24"/>
        </w:rPr>
        <w:t>Included Scope:</w:t>
        <w:br/>
        <w:t>• Cyber-physical system architecture spanning edge telemetry acquisition, message queuing, distributed stream computing, machine learning inference, and presentation layers.</w:t>
        <w:br/>
        <w:t>• Integration of physical sensor nodes (piezoresistive pressure transducers, ultrasonic flow meters, piezoelectric accelerometers) deployed across an experimental bench-scale hydraulic flow loop.</w:t>
        <w:br/>
        <w:t>• Scaled hydraulic simulations using the EPA EPANET 2.2 engine to generate diverse pressure-leak datasets across varying pipe materials (Ductile Iron, Cast Iron, High-Density Polyethylene - HDPE, and PVC).</w:t>
        <w:br/>
        <w:t>• Development of containerized microservices (FastAPI, Redis, PostgreSQL with PostGIS extension, Apache Kafka, Spark Streaming) packaged via Docker and orchestrated on Kubernetes.</w:t>
        <w:br/>
        <w:t>• Geospatial interactive web dashboard displaying pressure zoning, pipe health status, automated anomaly alerts, and dynamic leakage localization maps.</w:t>
        <w:br/>
        <w:br/>
        <w:t>Excluded Scope:</w:t>
        <w:br/>
        <w:t>• Physical civil engineering excavation and physical in-ground trenching across municipal public rights-of-way.</w:t>
        <w:br/>
        <w:t>• In-pipe autonomous robotic swimming inspection crawlers.</w:t>
        <w:br/>
        <w:t>• Direct billing, residential consumer metering, and commercial tariff collection management.</w:t>
        <w:br/>
        <w:br/>
        <w:t>Key Assumptions &amp; Boundary Conditions:</w:t>
        <w:br/>
        <w:t>• IoT field nodes possess cellular (4G/LTE-M or NB-IoT) or LoRaWAN network connectivity with minimum 98% uptime.</w:t>
        <w:br/>
        <w:t>• Municipal water pipes operate under positive hydraulic pressure between 1.5 bar and 6.0 bar.</w:t>
        <w:br/>
        <w:t>• Water distribution network topology, pipe dimensions, and physical elevation data are accessible via municipal GIS databases.</w:t>
      </w:r>
    </w:p>
    <w:p>
      <w:pPr>
        <w:spacing w:before="240" w:after="120" w:line="276" w:lineRule="auto"/>
        <w:jc w:val="left"/>
      </w:pPr>
      <w:r>
        <w:rPr>
          <w:rFonts w:ascii="Times New Roman" w:hAnsi="Times New Roman"/>
          <w:b/>
          <w:color w:val="000000"/>
          <w:sz w:val="24"/>
        </w:rPr>
        <w:t>1.7 Expected Engineering Outcome</w:t>
      </w:r>
    </w:p>
    <w:p>
      <w:pPr>
        <w:spacing w:before="0" w:after="120" w:line="276" w:lineRule="auto"/>
        <w:jc w:val="both"/>
      </w:pPr>
      <w:r>
        <w:rPr>
          <w:rFonts w:ascii="Times New Roman" w:hAnsi="Times New Roman"/>
          <w:b w:val="0"/>
          <w:color w:val="000000"/>
          <w:sz w:val="24"/>
        </w:rPr>
        <w:t>The project delivers a fully functional, cloud-native cyber-physical software and hardware platform comprising:</w:t>
        <w:br/>
        <w:t>1. Physical IoT Telemetry Edge Node Prototype: An industrial microcontroller-based sensing unit with low-power sleep modes, cellular transmission, and edge signal filtering.</w:t>
        <w:br/>
        <w:t>2. Cloud-Native Big Data Infrastructure: Production-ready Kubernetes deployment manifests (Helm charts) establishing an Apache Kafka broker cluster, Apache Spark stream workers, and a PostGIS temporal-spatial database.</w:t>
        <w:br/>
        <w:t>3. Trained AI Leakage Detection &amp; Localization Model Suite: Production-ready serialized Bi-LSTM autoencoder and ST-GNN models capable of sub-second inference on incoming telemetry streams.</w:t>
        <w:br/>
        <w:t>4. Web-Based Central SCADA Console: An enterprise-grade, browser-accessible monitoring interface featuring real-time visual dashboards, automated SMS/email maintenance dispatch, and interactive GIS spatial pipeline mapping.</w:t>
      </w:r>
    </w:p>
    <w:p>
      <w:pPr>
        <w:spacing w:before="240" w:after="80" w:line="276" w:lineRule="auto"/>
        <w:jc w:val="center"/>
      </w:pPr>
      <w:r>
        <w:rPr>
          <w:rFonts w:ascii="Times New Roman" w:hAnsi="Times New Roman"/>
          <w:b/>
          <w:color w:val="000000"/>
          <w:sz w:val="24"/>
        </w:rPr>
        <w:t>[Figure 1.1: Layered Cloud-Native System Architecture]</w:t>
      </w:r>
    </w:p>
    <w:p>
      <w:pPr>
        <w:spacing w:before="0" w:after="240" w:line="276" w:lineRule="auto"/>
        <w:jc w:val="center"/>
      </w:pPr>
      <w:r>
        <w:rPr>
          <w:rFonts w:ascii="Times New Roman" w:hAnsi="Times New Roman"/>
          <w:b w:val="0"/>
          <w:color w:val="000000"/>
          <w:sz w:val="24"/>
        </w:rPr>
        <w:t>(Diagram representation: Physical Sensor Nodes &amp; Actuators -&gt; MQTT/TLS Edge Gateway -&gt; Cloud Ingestion [Apache Kafka] -&gt; Stream Processing [Apache Spark] -&gt; AI/ML Anomaly Engine [Bi-LSTM + ST-GNN] -&gt; Storage [PostgreSQL/PostGIS + TimescaleDB] -&gt; Cloud-Native Microservices [FastAPI + Docker + K8s] -&gt; Presentation Layer [Web SCADA GIS Dashboard]).</w:t>
      </w:r>
    </w:p>
    <w:p>
      <w:pPr>
        <w:spacing w:before="120" w:after="80" w:line="276" w:lineRule="auto"/>
        <w:jc w:val="center"/>
      </w:pPr>
      <w:r>
        <w:rPr>
          <w:rFonts w:ascii="Times New Roman" w:hAnsi="Times New Roman"/>
          <w:b/>
          <w:color w:val="000000"/>
          <w:sz w:val="24"/>
        </w:rPr>
        <w:t>[Figure 1.2: GIS Pipeline Network Map and Pressure Zoning]</w:t>
      </w:r>
    </w:p>
    <w:p>
      <w:pPr>
        <w:spacing w:before="0" w:after="240" w:line="276" w:lineRule="auto"/>
        <w:jc w:val="center"/>
      </w:pPr>
      <w:r>
        <w:rPr>
          <w:rFonts w:ascii="Times New Roman" w:hAnsi="Times New Roman"/>
          <w:b w:val="0"/>
          <w:color w:val="000000"/>
          <w:sz w:val="24"/>
        </w:rPr>
        <w:t>(Diagram representation: Municipal District Metered Area (DMA) topology showing pipeline nodes, hydraulic elevation contours, dynamic pressure zone heatmaps, and pinpointed leakage alerts).</w:t>
      </w:r>
    </w:p>
    <w:p>
      <w:r>
        <w:br w:type="page"/>
      </w:r>
    </w:p>
    <w:p>
      <w:pPr>
        <w:spacing w:before="240" w:after="40" w:line="276" w:lineRule="auto"/>
        <w:jc w:val="center"/>
      </w:pPr>
      <w:r>
        <w:rPr>
          <w:rFonts w:ascii="Times New Roman" w:hAnsi="Times New Roman"/>
          <w:b/>
          <w:color w:val="000000"/>
          <w:sz w:val="24"/>
        </w:rPr>
        <w:t>CHAPTER 2</w:t>
      </w:r>
    </w:p>
    <w:p>
      <w:pPr>
        <w:spacing w:before="40" w:after="360" w:line="276" w:lineRule="auto"/>
        <w:jc w:val="center"/>
      </w:pPr>
      <w:r>
        <w:rPr>
          <w:rFonts w:ascii="Times New Roman" w:hAnsi="Times New Roman"/>
          <w:b/>
          <w:color w:val="000000"/>
          <w:sz w:val="24"/>
        </w:rPr>
        <w:t>LITERATURE REVIEW AND EXISTING SOLUTIONS</w:t>
      </w:r>
    </w:p>
    <w:p>
      <w:pPr>
        <w:spacing w:before="240" w:after="120" w:line="276" w:lineRule="auto"/>
        <w:jc w:val="left"/>
      </w:pPr>
      <w:r>
        <w:rPr>
          <w:rFonts w:ascii="Times New Roman" w:hAnsi="Times New Roman"/>
          <w:b/>
          <w:color w:val="000000"/>
          <w:sz w:val="24"/>
        </w:rPr>
        <w:t>2.1 Review Method</w:t>
      </w:r>
    </w:p>
    <w:p>
      <w:pPr>
        <w:spacing w:before="0" w:after="120" w:line="276" w:lineRule="auto"/>
        <w:jc w:val="both"/>
      </w:pPr>
      <w:r>
        <w:rPr>
          <w:rFonts w:ascii="Times New Roman" w:hAnsi="Times New Roman"/>
          <w:b w:val="0"/>
          <w:color w:val="000000"/>
          <w:sz w:val="24"/>
        </w:rPr>
        <w:t>A rigorous, systematic literature review was executed following the PRISMA guidelines to evaluate peer-reviewed research, industrial whitepapers, and international engineering standards published between 2018 and 2026. Academic search databases included IEEE Xplore, ScienceDirect (Elsevier), ACM Digital Library, SpringerLink, and the American Water Works Association (AWWA) Journal. Search queries synthesized keywords including: 'Smart Water Distribution', 'Non-Revenue Water Leakage Detection', 'Cloud-Native IoT Architecture', 'Hydraulic Transient Analysis', 'Machine Learning Pipe Burst Localization', and 'Kafka Spark Streaming'. Articles were filtered based on empirical rigor, relevance to cyber-physical water systems, cloud scalability, and algorithmic accuracy.</w:t>
      </w:r>
    </w:p>
    <w:p>
      <w:pPr>
        <w:spacing w:before="240" w:after="120" w:line="276" w:lineRule="auto"/>
        <w:jc w:val="left"/>
      </w:pPr>
      <w:r>
        <w:rPr>
          <w:rFonts w:ascii="Times New Roman" w:hAnsi="Times New Roman"/>
          <w:b/>
          <w:color w:val="000000"/>
          <w:sz w:val="24"/>
        </w:rPr>
        <w:t>2.2 Review of Existing Work</w:t>
      </w:r>
    </w:p>
    <w:p>
      <w:pPr>
        <w:spacing w:before="0" w:after="120" w:line="276" w:lineRule="auto"/>
        <w:jc w:val="both"/>
      </w:pPr>
      <w:r>
        <w:rPr>
          <w:rFonts w:ascii="Times New Roman" w:hAnsi="Times New Roman"/>
          <w:b w:val="0"/>
          <w:color w:val="000000"/>
          <w:sz w:val="24"/>
        </w:rPr>
        <w:t>Existing solutions for water distribution monitoring and pipe leakage detection fall into three broad categories: acoustic/listening methods, hydraulic model-based approaches, and data-driven/machine learning methodologies.</w:t>
        <w:br/>
        <w:br/>
        <w:t>1. Acoustic and Mechanical Listening Methods: Historically, water utilities have relied on listening rods, acoustic listening sticks, ground microphones, and noise correlation loggers deployed manually along pipe alignments. While effective for localized inspection, these methods are labor-intensive, slow, dependent on human hearing interpretation, and severely attenuated in non-metallic pipes (such as PVC and HDPE). Fixed acoustic sensor loggers provide continuous recording but generate vast quantities of uncompressed raw audio files, overwhelming legacy network bandwidths.</w:t>
        <w:br/>
        <w:br/>
        <w:t>2. Hydraulic Model-Based Approaches: Techniques leveraging hydraulic simulation engines such as EPANET, Bentley WaterGEMS, and KYPipe rely on solving classical mass balance and energy conservation equations (Hazen-Williams and Darcy-Weisbach formulations). State estimation algorithms (such as Extended Kalman Filters) infer leaks by tracking deviations between simulated hydraulic states and physical sensor readings. However, municipal WDNs undergo continuous physical modifications, valve aging, and pipe tuberculation; consequently, exact pipe roughness coefficients and boundary conditions are rarely known with precision, leading to high false-alarm rates during peak demands.</w:t>
        <w:br/>
        <w:br/>
        <w:t>3. Data-Driven and Modern AI Approaches: Recent advances explore Support Vector Machines (SVM), Random Forests, Multi-Layer Perceptrons, and Deep Convolutional Neural Networks (CNN) applied to pressure and flow logs. While capable of pattern recognition, early algorithms process static batch data rather than streaming time-series. Furthermore, monolithic cloud platforms lack elastic scaling, resulting in severe compute bottlenecks when processing thousands of distributed sensor streams concurrently.</w:t>
      </w:r>
    </w:p>
    <w:p>
      <w:pPr>
        <w:spacing w:before="240" w:after="120" w:line="276" w:lineRule="auto"/>
        <w:jc w:val="left"/>
      </w:pPr>
      <w:r>
        <w:rPr>
          <w:rFonts w:ascii="Times New Roman" w:hAnsi="Times New Roman"/>
          <w:b/>
          <w:color w:val="000000"/>
          <w:sz w:val="24"/>
        </w:rPr>
        <w:t>2.3 Comparative Analysis</w:t>
      </w:r>
    </w:p>
    <w:p>
      <w:pPr>
        <w:spacing w:before="0" w:after="120" w:line="276" w:lineRule="auto"/>
        <w:jc w:val="both"/>
      </w:pPr>
      <w:r>
        <w:rPr>
          <w:rFonts w:ascii="Times New Roman" w:hAnsi="Times New Roman"/>
          <w:b w:val="0"/>
          <w:color w:val="000000"/>
          <w:sz w:val="24"/>
        </w:rPr>
        <w:t>Table 2.1 provides a structured comparative analysis evaluating dominant existing approaches against the proposed Cloud-Native Smart Water Distribution Platform.</w:t>
      </w:r>
    </w:p>
    <w:p>
      <w:pPr>
        <w:spacing w:before="120" w:after="120" w:line="276" w:lineRule="auto"/>
        <w:jc w:val="left"/>
      </w:pPr>
      <w:r>
        <w:rPr>
          <w:rFonts w:ascii="Times New Roman" w:hAnsi="Times New Roman"/>
          <w:b/>
          <w:color w:val="000000"/>
          <w:sz w:val="24"/>
        </w:rPr>
        <w:t>Table 2.1: Comparative Analysis of Existing Approaches vs. Proposed Cloud-Native Platform</w:t>
      </w:r>
    </w:p>
    <w:tbl>
      <w:tblPr>
        <w:tblW w:type="auto" w:w="0"/>
        <w:jc w:val="center"/>
        <w:tblLook w:firstColumn="1" w:firstRow="1" w:lastColumn="0" w:lastRow="0" w:noHBand="0" w:noVBand="1" w:val="04A0"/>
      </w:tblPr>
      <w:tblGrid>
        <w:gridCol w:w="2340"/>
        <w:gridCol w:w="2340"/>
        <w:gridCol w:w="2340"/>
        <w:gridCol w:w="2340"/>
      </w:tblGrid>
      <w:tr>
        <w:trPr>
          <w:cantSplit/>
        </w:trPr>
        <w:tc>
          <w:tcPr>
            <w:tcW w:type="dxa" w:w="2160"/>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b/>
                <w:color w:val="000000"/>
                <w:sz w:val="24"/>
              </w:rPr>
              <w:t>Existing Approach / System</w:t>
            </w:r>
          </w:p>
        </w:tc>
        <w:tc>
          <w:tcPr>
            <w:tcW w:type="dxa" w:w="2304"/>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b/>
                <w:color w:val="000000"/>
                <w:sz w:val="24"/>
              </w:rPr>
              <w:t>Key Advantages</w:t>
            </w:r>
          </w:p>
        </w:tc>
        <w:tc>
          <w:tcPr>
            <w:tcW w:type="dxa" w:w="259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b/>
                <w:color w:val="000000"/>
                <w:sz w:val="24"/>
              </w:rPr>
              <w:t>Critical Limitations</w:t>
            </w:r>
          </w:p>
        </w:tc>
        <w:tc>
          <w:tcPr>
            <w:tcW w:type="dxa" w:w="2304"/>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b/>
                <w:color w:val="000000"/>
                <w:sz w:val="24"/>
              </w:rPr>
              <w:t>Relevance &amp; Improvement in Proposed Work</w:t>
            </w:r>
          </w:p>
        </w:tc>
      </w:tr>
      <w:tr>
        <w:trPr>
          <w:cantSplit/>
        </w:trPr>
        <w:tc>
          <w:tcPr>
            <w:tcW w:type="dxa" w:w="2160"/>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Conventional Legacy SCADA Platforms</w:t>
            </w:r>
          </w:p>
        </w:tc>
        <w:tc>
          <w:tcPr>
            <w:tcW w:type="dxa" w:w="2304"/>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High industrial stability, deterministic polling, familiar interface for utility operators.</w:t>
            </w:r>
          </w:p>
        </w:tc>
        <w:tc>
          <w:tcPr>
            <w:tcW w:type="dxa" w:w="259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Proprietary vendor lock-in, centralized monolithic architecture, high hardware capital expense, slow polling (15-60 min intervals), zero predictive AI.</w:t>
            </w:r>
          </w:p>
        </w:tc>
        <w:tc>
          <w:tcPr>
            <w:tcW w:type="dxa" w:w="2304"/>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Replaced with an open-source, cloud-native microservices architecture capable of 50 Hz sub-second telemetry ingestion.</w:t>
            </w:r>
          </w:p>
        </w:tc>
      </w:tr>
      <w:tr>
        <w:trPr>
          <w:cantSplit/>
        </w:trPr>
        <w:tc>
          <w:tcPr>
            <w:tcW w:type="dxa" w:w="2160"/>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Manual Acoustic / Listening Surveys</w:t>
            </w:r>
          </w:p>
        </w:tc>
        <w:tc>
          <w:tcPr>
            <w:tcW w:type="dxa" w:w="2304"/>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Accurate for metallic pipes when operated by seasoned technicians, low compute requirement.</w:t>
            </w:r>
          </w:p>
        </w:tc>
        <w:tc>
          <w:tcPr>
            <w:tcW w:type="dxa" w:w="259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Extremely labor-intensive, reactive (deployed only after leaks surface), completely ineffective on plastic/HDPE pipes, cannot monitor bursts in real time.</w:t>
            </w:r>
          </w:p>
        </w:tc>
        <w:tc>
          <w:tcPr>
            <w:tcW w:type="dxa" w:w="2304"/>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Replaced manual acoustic surveys with edge-mounted continuous piezoelectric transducers and automated digital cross-correlation.</w:t>
            </w:r>
          </w:p>
        </w:tc>
      </w:tr>
      <w:tr>
        <w:trPr>
          <w:cantSplit/>
        </w:trPr>
        <w:tc>
          <w:tcPr>
            <w:tcW w:type="dxa" w:w="2160"/>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EPANET Calibrated Hydraulic Models</w:t>
            </w:r>
          </w:p>
        </w:tc>
        <w:tc>
          <w:tcPr>
            <w:tcW w:type="dxa" w:w="2304"/>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Physics-based model foundation, excellent for long-term planning and static pipe sizing.</w:t>
            </w:r>
          </w:p>
        </w:tc>
        <w:tc>
          <w:tcPr>
            <w:tcW w:type="dxa" w:w="259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Requires exact pipe roughness calibration, computationally slow for large real-time networks, highly sensitive to boundary condition inaccuracies.</w:t>
            </w:r>
          </w:p>
        </w:tc>
        <w:tc>
          <w:tcPr>
            <w:tcW w:type="dxa" w:w="2304"/>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Used EPANET in a hybrid framework: provides baseline synthetic ground-truth and physical constraints to constrain AI model search spaces.</w:t>
            </w:r>
          </w:p>
        </w:tc>
      </w:tr>
      <w:tr>
        <w:trPr>
          <w:cantSplit/>
        </w:trPr>
        <w:tc>
          <w:tcPr>
            <w:tcW w:type="dxa" w:w="2160"/>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Proposed Cloud-Native AI Platform</w:t>
            </w:r>
          </w:p>
        </w:tc>
        <w:tc>
          <w:tcPr>
            <w:tcW w:type="dxa" w:w="2304"/>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Elastic horizontal scalability (K8s), sub-second stream analytics (Kafka/Spark), hybrid Bi-LSTM + ST-GNN AI, sub-3m leak localization, open-source cost profile.</w:t>
            </w:r>
          </w:p>
        </w:tc>
        <w:tc>
          <w:tcPr>
            <w:tcW w:type="dxa" w:w="259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Requires dependable wireless cellular/LoRaWAN coverage across monitored zones and initial edge sensor capital deployment.</w:t>
            </w:r>
          </w:p>
        </w:tc>
        <w:tc>
          <w:tcPr>
            <w:tcW w:type="dxa" w:w="2304"/>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Combines physics-informed hydraulic rules with deep spatial-temporal neural networks, providing complete end-to-end automation.</w:t>
            </w:r>
          </w:p>
        </w:tc>
      </w:tr>
    </w:tbl>
    <w:p>
      <w:pPr>
        <w:spacing w:before="240" w:after="120" w:line="276" w:lineRule="auto"/>
        <w:jc w:val="left"/>
      </w:pPr>
      <w:r>
        <w:rPr>
          <w:rFonts w:ascii="Times New Roman" w:hAnsi="Times New Roman"/>
          <w:b/>
          <w:color w:val="000000"/>
          <w:sz w:val="24"/>
        </w:rPr>
        <w:t>2.4 Research / Engineering Gap</w:t>
      </w:r>
    </w:p>
    <w:p>
      <w:pPr>
        <w:spacing w:before="0" w:after="120" w:line="276" w:lineRule="auto"/>
        <w:jc w:val="both"/>
      </w:pPr>
      <w:r>
        <w:rPr>
          <w:rFonts w:ascii="Times New Roman" w:hAnsi="Times New Roman"/>
          <w:b w:val="0"/>
          <w:color w:val="000000"/>
          <w:sz w:val="24"/>
        </w:rPr>
        <w:t>A rigorous review reveals four pivotal engineering gaps in contemporary municipal water monitoring research:</w:t>
        <w:br/>
        <w:t>1. Disconnection between Streaming Big Data and ML: Existing academic literature predominantly applies machine learning models in offline environments (e.g., historical CSV analysis in Jupyter notebooks) without addressing the engineering mechanics of live stream ingestion, backpressure handling, and real-time distributed feature extraction.</w:t>
        <w:br/>
        <w:t>2. Neglect of Plastic / Non-Metallic Pipe Dynamics: Modern urban pipelines heavily utilize PVC and HDPE materials where acoustic waves attenuate exponentially faster than in ductile iron. Existing acoustic correlators fail on plastic pipes due to low signal-to-noise ratios.</w:t>
        <w:br/>
        <w:t>3. Monolithic, Vendor-Locked Cloud Architectures: Commercial platforms remain proprietary, closed ecosystems with exorbitant annual licensing fees, preventing municipal utilities in developing countries from scaling coverage across underserved urban sectors.</w:t>
        <w:br/>
        <w:t>4. High False-Alarm Rates under Diurnal Demand Fluctuations: Most leak detection systems trigger frequent false alarms during normal operational events, such as pump starts, valve throttles, and routine morning demand surges.</w:t>
      </w:r>
    </w:p>
    <w:p>
      <w:pPr>
        <w:spacing w:before="240" w:after="120" w:line="276" w:lineRule="auto"/>
        <w:jc w:val="left"/>
      </w:pPr>
      <w:r>
        <w:rPr>
          <w:rFonts w:ascii="Times New Roman" w:hAnsi="Times New Roman"/>
          <w:b/>
          <w:color w:val="000000"/>
          <w:sz w:val="24"/>
        </w:rPr>
        <w:t>2.5 Proposed Contribution</w:t>
      </w:r>
    </w:p>
    <w:p>
      <w:pPr>
        <w:spacing w:before="0" w:after="120" w:line="276" w:lineRule="auto"/>
        <w:jc w:val="both"/>
      </w:pPr>
      <w:r>
        <w:rPr>
          <w:rFonts w:ascii="Times New Roman" w:hAnsi="Times New Roman"/>
          <w:b w:val="0"/>
          <w:color w:val="000000"/>
          <w:sz w:val="24"/>
        </w:rPr>
        <w:t>This capstone project directly overcomes these identified limitations through the following novel contributions:</w:t>
        <w:br/>
        <w:t>• Production-Grade Cloud-Native Pipeline: Architected a containerized, vendor-agnostic microservices stack using Docker, Kubernetes, Apache Kafka, and Apache Spark Streaming, establishing 10,000 msg/sec ingestion capability with zero cloud vendor lock-in.</w:t>
        <w:br/>
        <w:t>• Hybrid Physics-Constrained AI Pipeline: Integrated Bidirectional LSTM Autoencoders with Spatial-Temporal Graph Neural Networks (ST-GNN) that exploit both temporal hydraulic time-series and spatial network topology, dramatically reducing false alarms during demand surges.</w:t>
        <w:br/>
        <w:t>• Dual Transient-Acoustic Localization Engine: Developed a multi-modal localization algorithm combining negative pressure wave (NPW) front-velocity tracking and acoustic cross-correlation, delivering sub-3-meter localization accuracy across both metallic and PVC pipelines.</w:t>
        <w:br/>
        <w:t>• Low-Cost, Open-Hardware IoT Telemetry Node: Engineered an open-architecture edge telemetry module operating on cellular NB-IoT/4G with dynamic power management, reducing deployment costs by over 70% compared to legacy commercial RTU hardware.</w:t>
      </w:r>
    </w:p>
    <w:p>
      <w:r>
        <w:br w:type="page"/>
      </w:r>
    </w:p>
    <w:p>
      <w:pPr>
        <w:spacing w:before="240" w:after="40" w:line="276" w:lineRule="auto"/>
        <w:jc w:val="center"/>
      </w:pPr>
      <w:r>
        <w:rPr>
          <w:rFonts w:ascii="Times New Roman" w:hAnsi="Times New Roman"/>
          <w:b/>
          <w:color w:val="000000"/>
          <w:sz w:val="24"/>
        </w:rPr>
        <w:t>CHAPTER 3</w:t>
      </w:r>
    </w:p>
    <w:p>
      <w:pPr>
        <w:spacing w:before="40" w:after="360" w:line="276" w:lineRule="auto"/>
        <w:jc w:val="center"/>
      </w:pPr>
      <w:r>
        <w:rPr>
          <w:rFonts w:ascii="Times New Roman" w:hAnsi="Times New Roman"/>
          <w:b/>
          <w:color w:val="000000"/>
          <w:sz w:val="24"/>
        </w:rPr>
        <w:t>ENGINEERING DESIGN &amp; TRADE-OFFS, SUSTAINABILITY, ETHICS, SAFETY, RISK &amp; SECURITY</w:t>
      </w:r>
    </w:p>
    <w:p>
      <w:pPr>
        <w:spacing w:before="240" w:after="120" w:line="276" w:lineRule="auto"/>
        <w:jc w:val="left"/>
      </w:pPr>
      <w:r>
        <w:rPr>
          <w:rFonts w:ascii="Times New Roman" w:hAnsi="Times New Roman"/>
          <w:b/>
          <w:color w:val="000000"/>
          <w:sz w:val="24"/>
        </w:rPr>
        <w:t>3.1 Requirements</w:t>
      </w:r>
    </w:p>
    <w:p>
      <w:pPr>
        <w:spacing w:before="0" w:after="120" w:line="276" w:lineRule="auto"/>
        <w:jc w:val="both"/>
      </w:pPr>
      <w:r>
        <w:rPr>
          <w:rFonts w:ascii="Times New Roman" w:hAnsi="Times New Roman"/>
          <w:b w:val="0"/>
          <w:color w:val="000000"/>
          <w:sz w:val="24"/>
        </w:rPr>
        <w:t>The system requirements were captured from utility stakeholders, civil network operators, and data engineering standards to ensure operational viability and technical rigor.</w:t>
      </w:r>
    </w:p>
    <w:p>
      <w:pPr>
        <w:spacing w:before="80" w:after="120" w:line="276" w:lineRule="auto"/>
        <w:jc w:val="left"/>
      </w:pPr>
      <w:r>
        <w:rPr>
          <w:rFonts w:ascii="Times New Roman" w:hAnsi="Times New Roman"/>
          <w:b/>
          <w:color w:val="000000"/>
          <w:sz w:val="24"/>
        </w:rPr>
        <w:t>Table 3.1: Stakeholder / User Requirements</w:t>
      </w:r>
    </w:p>
    <w:tbl>
      <w:tblPr>
        <w:tblW w:type="auto" w:w="0"/>
        <w:jc w:val="center"/>
        <w:tblLook w:firstColumn="1" w:firstRow="1" w:lastColumn="0" w:lastRow="0" w:noHBand="0" w:noVBand="1" w:val="04A0"/>
      </w:tblPr>
      <w:tblGrid>
        <w:gridCol w:w="4680"/>
        <w:gridCol w:w="4680"/>
      </w:tblGrid>
      <w:tr>
        <w:trPr>
          <w:cantSplit/>
        </w:trPr>
        <w:tc>
          <w:tcPr>
            <w:tcW w:type="dxa" w:w="3168"/>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b/>
                <w:color w:val="000000"/>
                <w:sz w:val="24"/>
              </w:rPr>
              <w:t>Stakeholder</w:t>
            </w:r>
          </w:p>
        </w:tc>
        <w:tc>
          <w:tcPr>
            <w:tcW w:type="dxa" w:w="619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b/>
                <w:color w:val="000000"/>
                <w:sz w:val="24"/>
              </w:rPr>
              <w:t>Requirement Specification</w:t>
            </w:r>
          </w:p>
        </w:tc>
      </w:tr>
      <w:tr>
        <w:trPr>
          <w:cantSplit/>
        </w:trPr>
        <w:tc>
          <w:tcPr>
            <w:tcW w:type="dxa" w:w="3168"/>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Municipal Water Utility Engineers</w:t>
            </w:r>
          </w:p>
        </w:tc>
        <w:tc>
          <w:tcPr>
            <w:tcW w:type="dxa" w:w="619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Real-time visibility into pipeline hydraulic pressure and flow across District Metered Areas (DMAs) with automated burst alarm notifications delivered within 60 seconds of pipe failure.</w:t>
            </w:r>
          </w:p>
        </w:tc>
      </w:tr>
      <w:tr>
        <w:trPr>
          <w:cantSplit/>
        </w:trPr>
        <w:tc>
          <w:tcPr>
            <w:tcW w:type="dxa" w:w="3168"/>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Field Maintenance &amp; Repair Crews</w:t>
            </w:r>
          </w:p>
        </w:tc>
        <w:tc>
          <w:tcPr>
            <w:tcW w:type="dxa" w:w="619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Precise geographical localization of leaks (within a 3-meter radial radius) to minimize physical excavation footprint, street disruption, and traffic congestion.</w:t>
            </w:r>
          </w:p>
        </w:tc>
      </w:tr>
      <w:tr>
        <w:trPr>
          <w:cantSplit/>
        </w:trPr>
        <w:tc>
          <w:tcPr>
            <w:tcW w:type="dxa" w:w="3168"/>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Executive Utility Management</w:t>
            </w:r>
          </w:p>
        </w:tc>
        <w:tc>
          <w:tcPr>
            <w:tcW w:type="dxa" w:w="619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Comprehensive reporting on aggregate volumetric water loss, daily Non-Revenue Water (NRW) reduction percentages, asset health index, and pumping energy consumption trends.</w:t>
            </w:r>
          </w:p>
        </w:tc>
      </w:tr>
      <w:tr>
        <w:trPr>
          <w:cantSplit/>
        </w:trPr>
        <w:tc>
          <w:tcPr>
            <w:tcW w:type="dxa" w:w="3168"/>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System Administrators &amp; DevOps</w:t>
            </w:r>
          </w:p>
        </w:tc>
        <w:tc>
          <w:tcPr>
            <w:tcW w:type="dxa" w:w="619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Open-standard, horizontally scalable software deployment capable of zero-downtime microservice rolling updates, container health monitoring, and elastic cloud scaling.</w:t>
            </w:r>
          </w:p>
        </w:tc>
      </w:tr>
      <w:tr>
        <w:trPr>
          <w:cantSplit/>
        </w:trPr>
        <w:tc>
          <w:tcPr>
            <w:tcW w:type="dxa" w:w="3168"/>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Regulatory &amp; Environmental Bodies</w:t>
            </w:r>
          </w:p>
        </w:tc>
        <w:tc>
          <w:tcPr>
            <w:tcW w:type="dxa" w:w="619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Auditable compliance logs documenting drinking water pressure compliance, backflow contamination prevention, and water resource conservation metrics.</w:t>
            </w:r>
          </w:p>
        </w:tc>
      </w:tr>
    </w:tbl>
    <w:p>
      <w:pPr>
        <w:spacing w:before="240" w:after="120" w:line="276" w:lineRule="auto"/>
        <w:jc w:val="left"/>
      </w:pPr>
      <w:r>
        <w:rPr>
          <w:rFonts w:ascii="Times New Roman" w:hAnsi="Times New Roman"/>
          <w:b/>
          <w:color w:val="000000"/>
          <w:sz w:val="24"/>
        </w:rPr>
        <w:t>Table 3.2: Functional &amp; Non-Functional Requirements Matrix</w:t>
      </w:r>
    </w:p>
    <w:tbl>
      <w:tblPr>
        <w:tblW w:type="auto" w:w="0"/>
        <w:jc w:val="center"/>
        <w:tblLook w:firstColumn="1" w:firstRow="1" w:lastColumn="0" w:lastRow="0" w:noHBand="0" w:noVBand="1" w:val="04A0"/>
      </w:tblPr>
      <w:tblGrid>
        <w:gridCol w:w="3120"/>
        <w:gridCol w:w="3120"/>
        <w:gridCol w:w="3120"/>
      </w:tblGrid>
      <w:tr>
        <w:trPr>
          <w:cantSplit/>
        </w:trPr>
        <w:tc>
          <w:tcPr>
            <w:tcW w:type="dxa" w:w="3600"/>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b/>
                <w:color w:val="000000"/>
                <w:sz w:val="24"/>
              </w:rPr>
              <w:t>Requirement Description</w:t>
            </w:r>
          </w:p>
        </w:tc>
        <w:tc>
          <w:tcPr>
            <w:tcW w:type="dxa" w:w="2304"/>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b/>
                <w:color w:val="000000"/>
                <w:sz w:val="24"/>
              </w:rPr>
              <w:t>Requirement Type</w:t>
            </w:r>
          </w:p>
        </w:tc>
        <w:tc>
          <w:tcPr>
            <w:tcW w:type="dxa" w:w="3456"/>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b/>
                <w:color w:val="000000"/>
                <w:sz w:val="24"/>
              </w:rPr>
              <w:t>Measurable Target / Verification Method</w:t>
            </w:r>
          </w:p>
        </w:tc>
      </w:tr>
      <w:tr>
        <w:trPr>
          <w:cantSplit/>
        </w:trPr>
        <w:tc>
          <w:tcPr>
            <w:tcW w:type="dxa" w:w="3600"/>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High-Frequency Sensor Ingestion</w:t>
            </w:r>
          </w:p>
        </w:tc>
        <w:tc>
          <w:tcPr>
            <w:tcW w:type="dxa" w:w="2304"/>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Functional</w:t>
            </w:r>
          </w:p>
        </w:tc>
        <w:tc>
          <w:tcPr>
            <w:tcW w:type="dxa" w:w="3456"/>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Ingest pressure (0–10 bar) and acoustic logs at up to 50 Hz via MQTT/TLS.</w:t>
            </w:r>
          </w:p>
        </w:tc>
      </w:tr>
      <w:tr>
        <w:trPr>
          <w:cantSplit/>
        </w:trPr>
        <w:tc>
          <w:tcPr>
            <w:tcW w:type="dxa" w:w="3600"/>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Real-Time Stream Processing</w:t>
            </w:r>
          </w:p>
        </w:tc>
        <w:tc>
          <w:tcPr>
            <w:tcW w:type="dxa" w:w="2304"/>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Functional</w:t>
            </w:r>
          </w:p>
        </w:tc>
        <w:tc>
          <w:tcPr>
            <w:tcW w:type="dxa" w:w="3456"/>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Windowed stream calculations (mean, variance, transient spikes) via Spark in &lt; 500 ms.</w:t>
            </w:r>
          </w:p>
        </w:tc>
      </w:tr>
      <w:tr>
        <w:trPr>
          <w:cantSplit/>
        </w:trPr>
        <w:tc>
          <w:tcPr>
            <w:tcW w:type="dxa" w:w="3600"/>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Automated AI Leakage Detection</w:t>
            </w:r>
          </w:p>
        </w:tc>
        <w:tc>
          <w:tcPr>
            <w:tcW w:type="dxa" w:w="2304"/>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Functional</w:t>
            </w:r>
          </w:p>
        </w:tc>
        <w:tc>
          <w:tcPr>
            <w:tcW w:type="dxa" w:w="3456"/>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Achieve F1-Score ≥ 95% and false-positive rate &lt; 2% across operational regimes.</w:t>
            </w:r>
          </w:p>
        </w:tc>
      </w:tr>
      <w:tr>
        <w:trPr>
          <w:cantSplit/>
        </w:trPr>
        <w:tc>
          <w:tcPr>
            <w:tcW w:type="dxa" w:w="3600"/>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Geospatial Burst Localization</w:t>
            </w:r>
          </w:p>
        </w:tc>
        <w:tc>
          <w:tcPr>
            <w:tcW w:type="dxa" w:w="2304"/>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Functional</w:t>
            </w:r>
          </w:p>
        </w:tc>
        <w:tc>
          <w:tcPr>
            <w:tcW w:type="dxa" w:w="3456"/>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Pinpoint rupture coordinate within ±3 meters radial error on GIS map.</w:t>
            </w:r>
          </w:p>
        </w:tc>
      </w:tr>
      <w:tr>
        <w:trPr>
          <w:cantSplit/>
        </w:trPr>
        <w:tc>
          <w:tcPr>
            <w:tcW w:type="dxa" w:w="3600"/>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System Ingestion Scalability</w:t>
            </w:r>
          </w:p>
        </w:tc>
        <w:tc>
          <w:tcPr>
            <w:tcW w:type="dxa" w:w="2304"/>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Non-Functional</w:t>
            </w:r>
          </w:p>
        </w:tc>
        <w:tc>
          <w:tcPr>
            <w:tcW w:type="dxa" w:w="3456"/>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Sustain ≥ 10,000 events/sec sustained ingestion throughput without packet loss.</w:t>
            </w:r>
          </w:p>
        </w:tc>
      </w:tr>
      <w:tr>
        <w:trPr>
          <w:cantSplit/>
        </w:trPr>
        <w:tc>
          <w:tcPr>
            <w:tcW w:type="dxa" w:w="3600"/>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High Availability &amp; Fault Tolerance</w:t>
            </w:r>
          </w:p>
        </w:tc>
        <w:tc>
          <w:tcPr>
            <w:tcW w:type="dxa" w:w="2304"/>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Non-Functional</w:t>
            </w:r>
          </w:p>
        </w:tc>
        <w:tc>
          <w:tcPr>
            <w:tcW w:type="dxa" w:w="3456"/>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Ensure 99.9% platform availability with automated Kubernetes pod self-healing.</w:t>
            </w:r>
          </w:p>
        </w:tc>
      </w:tr>
      <w:tr>
        <w:trPr>
          <w:cantSplit/>
        </w:trPr>
        <w:tc>
          <w:tcPr>
            <w:tcW w:type="dxa" w:w="3600"/>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Cybersecurity &amp; Data Integrity</w:t>
            </w:r>
          </w:p>
        </w:tc>
        <w:tc>
          <w:tcPr>
            <w:tcW w:type="dxa" w:w="2304"/>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Non-Functional</w:t>
            </w:r>
          </w:p>
        </w:tc>
        <w:tc>
          <w:tcPr>
            <w:tcW w:type="dxa" w:w="3456"/>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Enforce TLS 1.3 encryption, JWT role-based authentication, and AES-256 at rest.</w:t>
            </w:r>
          </w:p>
        </w:tc>
      </w:tr>
      <w:tr>
        <w:trPr>
          <w:cantSplit/>
        </w:trPr>
        <w:tc>
          <w:tcPr>
            <w:tcW w:type="dxa" w:w="3600"/>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Edge Power Autonomy</w:t>
            </w:r>
          </w:p>
        </w:tc>
        <w:tc>
          <w:tcPr>
            <w:tcW w:type="dxa" w:w="2304"/>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Non-Functional</w:t>
            </w:r>
          </w:p>
        </w:tc>
        <w:tc>
          <w:tcPr>
            <w:tcW w:type="dxa" w:w="3456"/>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Edge IoT telemetry nodes must operate for ≥ 3 years on internal lithium D-cell battery.</w:t>
            </w:r>
          </w:p>
        </w:tc>
      </w:tr>
    </w:tbl>
    <w:p>
      <w:pPr>
        <w:spacing w:before="240" w:after="120" w:line="276" w:lineRule="auto"/>
        <w:jc w:val="left"/>
      </w:pPr>
      <w:r>
        <w:rPr>
          <w:rFonts w:ascii="Times New Roman" w:hAnsi="Times New Roman"/>
          <w:b/>
          <w:color w:val="000000"/>
          <w:sz w:val="24"/>
        </w:rPr>
        <w:t>3.2 Constraints &amp; Applicable Standards</w:t>
      </w:r>
    </w:p>
    <w:p>
      <w:pPr>
        <w:spacing w:before="0" w:after="120" w:line="276" w:lineRule="auto"/>
        <w:jc w:val="both"/>
      </w:pPr>
      <w:r>
        <w:rPr>
          <w:rFonts w:ascii="Times New Roman" w:hAnsi="Times New Roman"/>
          <w:b w:val="0"/>
          <w:color w:val="000000"/>
          <w:sz w:val="24"/>
        </w:rPr>
        <w:t>The project was executed strictly under applicable international standards, physical constraints, and regulatory frameworks.</w:t>
      </w:r>
    </w:p>
    <w:tbl>
      <w:tblPr>
        <w:tblW w:type="auto" w:w="0"/>
        <w:jc w:val="center"/>
        <w:tblLook w:firstColumn="1" w:firstRow="1" w:lastColumn="0" w:lastRow="0" w:noHBand="0" w:noVBand="1" w:val="04A0"/>
      </w:tblPr>
      <w:tblGrid>
        <w:gridCol w:w="3120"/>
        <w:gridCol w:w="3120"/>
        <w:gridCol w:w="3120"/>
      </w:tblGrid>
      <w:tr>
        <w:trPr>
          <w:cantSplit/>
        </w:trPr>
        <w:tc>
          <w:tcPr>
            <w:tcW w:type="dxa" w:w="259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b/>
                <w:color w:val="000000"/>
                <w:sz w:val="24"/>
              </w:rPr>
              <w:t>Standard / Code</w:t>
            </w:r>
          </w:p>
        </w:tc>
        <w:tc>
          <w:tcPr>
            <w:tcW w:type="dxa" w:w="331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b/>
                <w:color w:val="000000"/>
                <w:sz w:val="24"/>
              </w:rPr>
              <w:t>Specific Engineering Requirement</w:t>
            </w:r>
          </w:p>
        </w:tc>
        <w:tc>
          <w:tcPr>
            <w:tcW w:type="dxa" w:w="3456"/>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b/>
                <w:color w:val="000000"/>
                <w:sz w:val="24"/>
              </w:rPr>
              <w:t>Application in This Project</w:t>
            </w:r>
          </w:p>
        </w:tc>
      </w:tr>
      <w:tr>
        <w:trPr>
          <w:cantSplit/>
        </w:trPr>
        <w:tc>
          <w:tcPr>
            <w:tcW w:type="dxa" w:w="259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ISO/IEC 27001</w:t>
            </w:r>
          </w:p>
        </w:tc>
        <w:tc>
          <w:tcPr>
            <w:tcW w:type="dxa" w:w="331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Information Security Management System (ISMS) controls for cloud infrastructure.</w:t>
            </w:r>
          </w:p>
        </w:tc>
        <w:tc>
          <w:tcPr>
            <w:tcW w:type="dxa" w:w="3456"/>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Implemented strict Role-Based Access Control (RBAC), end-to-end TLS encryption, and secure API gateways.</w:t>
            </w:r>
          </w:p>
        </w:tc>
      </w:tr>
      <w:tr>
        <w:trPr>
          <w:cantSplit/>
        </w:trPr>
        <w:tc>
          <w:tcPr>
            <w:tcW w:type="dxa" w:w="259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AWWA M36</w:t>
            </w:r>
          </w:p>
        </w:tc>
        <w:tc>
          <w:tcPr>
            <w:tcW w:type="dxa" w:w="331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Water Audits and Loss Control Programs guidelines for Non-Revenue Water accounting.</w:t>
            </w:r>
          </w:p>
        </w:tc>
        <w:tc>
          <w:tcPr>
            <w:tcW w:type="dxa" w:w="3456"/>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Formulated the platform's DMA water balance calculations and daily volumetric leakage audit reporting.</w:t>
            </w:r>
          </w:p>
        </w:tc>
      </w:tr>
      <w:tr>
        <w:trPr>
          <w:cantSplit/>
        </w:trPr>
        <w:tc>
          <w:tcPr>
            <w:tcW w:type="dxa" w:w="259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IEEE 802.11 / Cellular 3GPP Rel 14</w:t>
            </w:r>
          </w:p>
        </w:tc>
        <w:tc>
          <w:tcPr>
            <w:tcW w:type="dxa" w:w="331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Standards for wireless telemetry and Narrowband IoT (NB-IoT) cellular communication.</w:t>
            </w:r>
          </w:p>
        </w:tc>
        <w:tc>
          <w:tcPr>
            <w:tcW w:type="dxa" w:w="3456"/>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Governed edge gateway wireless transceiver configuration, packet formatting, and transmission intervals.</w:t>
            </w:r>
          </w:p>
        </w:tc>
      </w:tr>
      <w:tr>
        <w:trPr>
          <w:cantSplit/>
        </w:trPr>
        <w:tc>
          <w:tcPr>
            <w:tcW w:type="dxa" w:w="259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OASIS MQTT v5.0</w:t>
            </w:r>
          </w:p>
        </w:tc>
        <w:tc>
          <w:tcPr>
            <w:tcW w:type="dxa" w:w="331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Lightweight publish/subscribe messaging transport for constrained networks.</w:t>
            </w:r>
          </w:p>
        </w:tc>
        <w:tc>
          <w:tcPr>
            <w:tcW w:type="dxa" w:w="3456"/>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Configured edge sensor telemetry topics, Quality of Service (QoS 1) delivery guarantees, and keep-alive intervals.</w:t>
            </w:r>
          </w:p>
        </w:tc>
      </w:tr>
      <w:tr>
        <w:trPr>
          <w:cantSplit/>
        </w:trPr>
        <w:tc>
          <w:tcPr>
            <w:tcW w:type="dxa" w:w="259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ISO 9001 / IEC 60529</w:t>
            </w:r>
          </w:p>
        </w:tc>
        <w:tc>
          <w:tcPr>
            <w:tcW w:type="dxa" w:w="331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Degrees of protection provided by enclosures (IP ratings) for harsh field equipment.</w:t>
            </w:r>
          </w:p>
        </w:tc>
        <w:tc>
          <w:tcPr>
            <w:tcW w:type="dxa" w:w="3456"/>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Edge IoT enclosures designed and rated for IP68 ingress protection against continuous subterranean submersion.</w:t>
            </w:r>
          </w:p>
        </w:tc>
      </w:tr>
    </w:tbl>
    <w:p>
      <w:pPr>
        <w:spacing w:before="240" w:after="120" w:line="276" w:lineRule="auto"/>
        <w:jc w:val="left"/>
      </w:pPr>
      <w:r>
        <w:rPr>
          <w:rFonts w:ascii="Times New Roman" w:hAnsi="Times New Roman"/>
          <w:b/>
          <w:color w:val="000000"/>
          <w:sz w:val="24"/>
        </w:rPr>
        <w:t>3.3 Design Specifications</w:t>
      </w:r>
    </w:p>
    <w:p>
      <w:pPr>
        <w:spacing w:before="0" w:after="120" w:line="276" w:lineRule="auto"/>
        <w:jc w:val="both"/>
      </w:pPr>
      <w:r>
        <w:rPr>
          <w:rFonts w:ascii="Times New Roman" w:hAnsi="Times New Roman"/>
          <w:b w:val="0"/>
          <w:color w:val="000000"/>
          <w:sz w:val="24"/>
        </w:rPr>
        <w:t>The platform's technical parameters are summarized below:</w:t>
      </w:r>
    </w:p>
    <w:tbl>
      <w:tblPr>
        <w:tblW w:type="auto" w:w="0"/>
        <w:jc w:val="center"/>
        <w:tblLook w:firstColumn="1" w:firstRow="1" w:lastColumn="0" w:lastRow="0" w:noHBand="0" w:noVBand="1" w:val="04A0"/>
      </w:tblPr>
      <w:tblGrid>
        <w:gridCol w:w="2340"/>
        <w:gridCol w:w="2340"/>
        <w:gridCol w:w="2340"/>
        <w:gridCol w:w="2340"/>
      </w:tblGrid>
      <w:tr>
        <w:trPr>
          <w:cantSplit/>
        </w:trPr>
        <w:tc>
          <w:tcPr>
            <w:tcW w:type="dxa" w:w="3168"/>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b/>
                <w:color w:val="000000"/>
                <w:sz w:val="24"/>
              </w:rPr>
              <w:t>Engineering Parameter</w:t>
            </w:r>
          </w:p>
        </w:tc>
        <w:tc>
          <w:tcPr>
            <w:tcW w:type="dxa" w:w="2880"/>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b/>
                <w:color w:val="000000"/>
                <w:sz w:val="24"/>
              </w:rPr>
              <w:t>Design Target Specification</w:t>
            </w:r>
          </w:p>
        </w:tc>
        <w:tc>
          <w:tcPr>
            <w:tcW w:type="dxa" w:w="187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b/>
                <w:color w:val="000000"/>
                <w:sz w:val="24"/>
              </w:rPr>
              <w:t>Engineering Unit</w:t>
            </w:r>
          </w:p>
        </w:tc>
        <w:tc>
          <w:tcPr>
            <w:tcW w:type="dxa" w:w="1440"/>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b/>
                <w:color w:val="000000"/>
                <w:sz w:val="24"/>
              </w:rPr>
              <w:t>System Priority</w:t>
            </w:r>
          </w:p>
        </w:tc>
      </w:tr>
      <w:tr>
        <w:trPr>
          <w:cantSplit/>
        </w:trPr>
        <w:tc>
          <w:tcPr>
            <w:tcW w:type="dxa" w:w="3168"/>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Edge Pressure Sensor Range</w:t>
            </w:r>
          </w:p>
        </w:tc>
        <w:tc>
          <w:tcPr>
            <w:tcW w:type="dxa" w:w="2880"/>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0.0 to 10.0 (Gauge)</w:t>
            </w:r>
          </w:p>
        </w:tc>
        <w:tc>
          <w:tcPr>
            <w:tcW w:type="dxa" w:w="187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Bar (Gauge)</w:t>
            </w:r>
          </w:p>
        </w:tc>
        <w:tc>
          <w:tcPr>
            <w:tcW w:type="dxa" w:w="1440"/>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Critical</w:t>
            </w:r>
          </w:p>
        </w:tc>
      </w:tr>
      <w:tr>
        <w:trPr>
          <w:cantSplit/>
        </w:trPr>
        <w:tc>
          <w:tcPr>
            <w:tcW w:type="dxa" w:w="3168"/>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Pressure Transducer Accuracy</w:t>
            </w:r>
          </w:p>
        </w:tc>
        <w:tc>
          <w:tcPr>
            <w:tcW w:type="dxa" w:w="2880"/>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 0.25% Full Scale Span</w:t>
            </w:r>
          </w:p>
        </w:tc>
        <w:tc>
          <w:tcPr>
            <w:tcW w:type="dxa" w:w="187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Percentage (%)</w:t>
            </w:r>
          </w:p>
        </w:tc>
        <w:tc>
          <w:tcPr>
            <w:tcW w:type="dxa" w:w="1440"/>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High</w:t>
            </w:r>
          </w:p>
        </w:tc>
      </w:tr>
      <w:tr>
        <w:trPr>
          <w:cantSplit/>
        </w:trPr>
        <w:tc>
          <w:tcPr>
            <w:tcW w:type="dxa" w:w="3168"/>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Telemetry Sampling Frequency</w:t>
            </w:r>
          </w:p>
        </w:tc>
        <w:tc>
          <w:tcPr>
            <w:tcW w:type="dxa" w:w="2880"/>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50 (Dynamic edge burst trigger)</w:t>
            </w:r>
          </w:p>
        </w:tc>
        <w:tc>
          <w:tcPr>
            <w:tcW w:type="dxa" w:w="187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Hertz (Hz)</w:t>
            </w:r>
          </w:p>
        </w:tc>
        <w:tc>
          <w:tcPr>
            <w:tcW w:type="dxa" w:w="1440"/>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High</w:t>
            </w:r>
          </w:p>
        </w:tc>
      </w:tr>
      <w:tr>
        <w:trPr>
          <w:cantSplit/>
        </w:trPr>
        <w:tc>
          <w:tcPr>
            <w:tcW w:type="dxa" w:w="3168"/>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Ingestion Pipeline Latency</w:t>
            </w:r>
          </w:p>
        </w:tc>
        <w:tc>
          <w:tcPr>
            <w:tcW w:type="dxa" w:w="2880"/>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&lt; 500</w:t>
            </w:r>
          </w:p>
        </w:tc>
        <w:tc>
          <w:tcPr>
            <w:tcW w:type="dxa" w:w="187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Milliseconds (ms)</w:t>
            </w:r>
          </w:p>
        </w:tc>
        <w:tc>
          <w:tcPr>
            <w:tcW w:type="dxa" w:w="1440"/>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Critical</w:t>
            </w:r>
          </w:p>
        </w:tc>
      </w:tr>
      <w:tr>
        <w:trPr>
          <w:cantSplit/>
        </w:trPr>
        <w:tc>
          <w:tcPr>
            <w:tcW w:type="dxa" w:w="3168"/>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Leak Detection F1-Score</w:t>
            </w:r>
          </w:p>
        </w:tc>
        <w:tc>
          <w:tcPr>
            <w:tcW w:type="dxa" w:w="2880"/>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 95.0</w:t>
            </w:r>
          </w:p>
        </w:tc>
        <w:tc>
          <w:tcPr>
            <w:tcW w:type="dxa" w:w="187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Percentage (%)</w:t>
            </w:r>
          </w:p>
        </w:tc>
        <w:tc>
          <w:tcPr>
            <w:tcW w:type="dxa" w:w="1440"/>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Critical</w:t>
            </w:r>
          </w:p>
        </w:tc>
      </w:tr>
      <w:tr>
        <w:trPr>
          <w:cantSplit/>
        </w:trPr>
        <w:tc>
          <w:tcPr>
            <w:tcW w:type="dxa" w:w="3168"/>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Localization Spatial Accuracy</w:t>
            </w:r>
          </w:p>
        </w:tc>
        <w:tc>
          <w:tcPr>
            <w:tcW w:type="dxa" w:w="2880"/>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Radial Error ≤ 3.0</w:t>
            </w:r>
          </w:p>
        </w:tc>
        <w:tc>
          <w:tcPr>
            <w:tcW w:type="dxa" w:w="187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Meters (m)</w:t>
            </w:r>
          </w:p>
        </w:tc>
        <w:tc>
          <w:tcPr>
            <w:tcW w:type="dxa" w:w="1440"/>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High</w:t>
            </w:r>
          </w:p>
        </w:tc>
      </w:tr>
      <w:tr>
        <w:trPr>
          <w:cantSplit/>
        </w:trPr>
        <w:tc>
          <w:tcPr>
            <w:tcW w:type="dxa" w:w="3168"/>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Battery Operating Life</w:t>
            </w:r>
          </w:p>
        </w:tc>
        <w:tc>
          <w:tcPr>
            <w:tcW w:type="dxa" w:w="2880"/>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 36</w:t>
            </w:r>
          </w:p>
        </w:tc>
        <w:tc>
          <w:tcPr>
            <w:tcW w:type="dxa" w:w="187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Months</w:t>
            </w:r>
          </w:p>
        </w:tc>
        <w:tc>
          <w:tcPr>
            <w:tcW w:type="dxa" w:w="1440"/>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High</w:t>
            </w:r>
          </w:p>
        </w:tc>
      </w:tr>
    </w:tbl>
    <w:p>
      <w:pPr>
        <w:spacing w:before="240" w:after="120" w:line="276" w:lineRule="auto"/>
        <w:jc w:val="left"/>
      </w:pPr>
      <w:r>
        <w:rPr>
          <w:rFonts w:ascii="Times New Roman" w:hAnsi="Times New Roman"/>
          <w:b/>
          <w:color w:val="000000"/>
          <w:sz w:val="24"/>
        </w:rPr>
        <w:t>3.4 Alternative Solutions &amp; Evaluation</w:t>
      </w:r>
    </w:p>
    <w:p>
      <w:pPr>
        <w:spacing w:before="0" w:after="120" w:line="276" w:lineRule="auto"/>
        <w:jc w:val="both"/>
      </w:pPr>
      <w:r>
        <w:rPr>
          <w:rFonts w:ascii="Times New Roman" w:hAnsi="Times New Roman"/>
          <w:b w:val="0"/>
          <w:color w:val="000000"/>
          <w:sz w:val="24"/>
        </w:rPr>
        <w:t>Alternative 1: Monolithic On-Premises SCADA Architecture. Relies on legacy centralized servers hosting proprietary SCADA software, polling RTUs over dedicated private radio frequency modems at 15-minute intervals. Features zero cloud elasticity, exorbitant initial capital costs, and zero native AI capabilities.</w:t>
        <w:br/>
        <w:br/>
        <w:t>Alternative 2: Public Cloud Proprietary PaaS Architecture. Utilizes fully managed proprietary cloud services (such as AWS IoT SiteWise and AWS Kinesis). While offering high scalability and low setup friction, it induces severe long-term vendor lock-in and high recurring monthly subscription fees.</w:t>
        <w:br/>
        <w:br/>
        <w:t>Alternative 3: Cloud-Native Open-Source Microservices Architecture (Selected Design). Deploys containerized open-source frameworks (Apache Kafka, Spark, FastAPI, PostgreSQL/PostGIS) orchestrated via Kubernetes across multi-cloud or hybrid infrastructure. Guarantees complete architectural sovereignty, horizontal elasticity, low operational overhead, and full flexibility for custom machine learning deployment.</w:t>
      </w:r>
    </w:p>
    <w:p>
      <w:pPr>
        <w:spacing w:before="80" w:after="120" w:line="276" w:lineRule="auto"/>
        <w:jc w:val="left"/>
      </w:pPr>
      <w:r>
        <w:rPr>
          <w:rFonts w:ascii="Times New Roman" w:hAnsi="Times New Roman"/>
          <w:b/>
          <w:color w:val="000000"/>
          <w:sz w:val="24"/>
        </w:rPr>
        <w:t>Table 3.3: Alternative Solutions &amp; Multi-Criteria Decision Matrix</w:t>
      </w:r>
    </w:p>
    <w:tbl>
      <w:tblPr>
        <w:tblW w:type="auto" w:w="0"/>
        <w:jc w:val="center"/>
        <w:tblLook w:firstColumn="1" w:firstRow="1" w:lastColumn="0" w:lastRow="0" w:noHBand="0" w:noVBand="1" w:val="04A0"/>
      </w:tblPr>
      <w:tblGrid>
        <w:gridCol w:w="1872"/>
        <w:gridCol w:w="1872"/>
        <w:gridCol w:w="1872"/>
        <w:gridCol w:w="1872"/>
        <w:gridCol w:w="1872"/>
      </w:tblGrid>
      <w:tr>
        <w:trPr>
          <w:cantSplit/>
        </w:trPr>
        <w:tc>
          <w:tcPr>
            <w:tcW w:type="dxa" w:w="259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b/>
                <w:color w:val="000000"/>
                <w:sz w:val="24"/>
              </w:rPr>
              <w:t>Evaluation Criterion</w:t>
            </w:r>
          </w:p>
        </w:tc>
        <w:tc>
          <w:tcPr>
            <w:tcW w:type="dxa" w:w="115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b/>
                <w:color w:val="000000"/>
                <w:sz w:val="24"/>
              </w:rPr>
              <w:t>Weight</w:t>
            </w:r>
          </w:p>
        </w:tc>
        <w:tc>
          <w:tcPr>
            <w:tcW w:type="dxa" w:w="187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b/>
                <w:color w:val="000000"/>
                <w:sz w:val="24"/>
              </w:rPr>
              <w:t>Alt 1: Monolithic On-Prem</w:t>
            </w:r>
          </w:p>
        </w:tc>
        <w:tc>
          <w:tcPr>
            <w:tcW w:type="dxa" w:w="187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b/>
                <w:color w:val="000000"/>
                <w:sz w:val="24"/>
              </w:rPr>
              <w:t>Alt 2: Public Cloud PaaS</w:t>
            </w:r>
          </w:p>
        </w:tc>
        <w:tc>
          <w:tcPr>
            <w:tcW w:type="dxa" w:w="187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b/>
                <w:color w:val="000000"/>
                <w:sz w:val="24"/>
              </w:rPr>
              <w:t>Alt 3: Proposed Cloud-Native</w:t>
            </w:r>
          </w:p>
        </w:tc>
      </w:tr>
      <w:tr>
        <w:trPr>
          <w:cantSplit/>
        </w:trPr>
        <w:tc>
          <w:tcPr>
            <w:tcW w:type="dxa" w:w="259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Performance &amp; Streaming Latency</w:t>
            </w:r>
          </w:p>
        </w:tc>
        <w:tc>
          <w:tcPr>
            <w:tcW w:type="dxa" w:w="115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25%</w:t>
            </w:r>
          </w:p>
        </w:tc>
        <w:tc>
          <w:tcPr>
            <w:tcW w:type="dxa" w:w="187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2 / 5 (Poor)</w:t>
            </w:r>
          </w:p>
        </w:tc>
        <w:tc>
          <w:tcPr>
            <w:tcW w:type="dxa" w:w="187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4 / 5 (Good)</w:t>
            </w:r>
          </w:p>
        </w:tc>
        <w:tc>
          <w:tcPr>
            <w:tcW w:type="dxa" w:w="187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5 / 5 (Superior)</w:t>
            </w:r>
          </w:p>
        </w:tc>
      </w:tr>
      <w:tr>
        <w:trPr>
          <w:cantSplit/>
        </w:trPr>
        <w:tc>
          <w:tcPr>
            <w:tcW w:type="dxa" w:w="259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Cost Efficiency (CapEx &amp; OpEx)</w:t>
            </w:r>
          </w:p>
        </w:tc>
        <w:tc>
          <w:tcPr>
            <w:tcW w:type="dxa" w:w="115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20%</w:t>
            </w:r>
          </w:p>
        </w:tc>
        <w:tc>
          <w:tcPr>
            <w:tcW w:type="dxa" w:w="187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1 / 5 (Exorbitant CapEx)</w:t>
            </w:r>
          </w:p>
        </w:tc>
        <w:tc>
          <w:tcPr>
            <w:tcW w:type="dxa" w:w="187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3 / 5 (High recurring)</w:t>
            </w:r>
          </w:p>
        </w:tc>
        <w:tc>
          <w:tcPr>
            <w:tcW w:type="dxa" w:w="187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5 / 5 (Cost-Effective)</w:t>
            </w:r>
          </w:p>
        </w:tc>
      </w:tr>
      <w:tr>
        <w:trPr>
          <w:cantSplit/>
        </w:trPr>
        <w:tc>
          <w:tcPr>
            <w:tcW w:type="dxa" w:w="259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System Scalability &amp; Elasticity</w:t>
            </w:r>
          </w:p>
        </w:tc>
        <w:tc>
          <w:tcPr>
            <w:tcW w:type="dxa" w:w="115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20%</w:t>
            </w:r>
          </w:p>
        </w:tc>
        <w:tc>
          <w:tcPr>
            <w:tcW w:type="dxa" w:w="187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2 / 5 (Fixed capacity)</w:t>
            </w:r>
          </w:p>
        </w:tc>
        <w:tc>
          <w:tcPr>
            <w:tcW w:type="dxa" w:w="187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5 / 5 (Fully elastic)</w:t>
            </w:r>
          </w:p>
        </w:tc>
        <w:tc>
          <w:tcPr>
            <w:tcW w:type="dxa" w:w="187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5 / 5 (Fully elastic K8s)</w:t>
            </w:r>
          </w:p>
        </w:tc>
      </w:tr>
      <w:tr>
        <w:trPr>
          <w:cantSplit/>
        </w:trPr>
        <w:tc>
          <w:tcPr>
            <w:tcW w:type="dxa" w:w="259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Flexibility &amp; ML Extensibility</w:t>
            </w:r>
          </w:p>
        </w:tc>
        <w:tc>
          <w:tcPr>
            <w:tcW w:type="dxa" w:w="115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20%</w:t>
            </w:r>
          </w:p>
        </w:tc>
        <w:tc>
          <w:tcPr>
            <w:tcW w:type="dxa" w:w="187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1 / 5 (Closed vendor)</w:t>
            </w:r>
          </w:p>
        </w:tc>
        <w:tc>
          <w:tcPr>
            <w:tcW w:type="dxa" w:w="187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3 / 5 (PaaS constraints)</w:t>
            </w:r>
          </w:p>
        </w:tc>
        <w:tc>
          <w:tcPr>
            <w:tcW w:type="dxa" w:w="187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5 / 5 (Native Python/PyTorch)</w:t>
            </w:r>
          </w:p>
        </w:tc>
      </w:tr>
      <w:tr>
        <w:trPr>
          <w:cantSplit/>
        </w:trPr>
        <w:tc>
          <w:tcPr>
            <w:tcW w:type="dxa" w:w="259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Reliability &amp; Fault Tolerance</w:t>
            </w:r>
          </w:p>
        </w:tc>
        <w:tc>
          <w:tcPr>
            <w:tcW w:type="dxa" w:w="115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15%</w:t>
            </w:r>
          </w:p>
        </w:tc>
        <w:tc>
          <w:tcPr>
            <w:tcW w:type="dxa" w:w="187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3 / 5 (Single failure points)</w:t>
            </w:r>
          </w:p>
        </w:tc>
        <w:tc>
          <w:tcPr>
            <w:tcW w:type="dxa" w:w="187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5 / 5 (High availability)</w:t>
            </w:r>
          </w:p>
        </w:tc>
        <w:tc>
          <w:tcPr>
            <w:tcW w:type="dxa" w:w="187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4.5 / 5 (K8s pod self-healing)</w:t>
            </w:r>
          </w:p>
        </w:tc>
      </w:tr>
      <w:tr>
        <w:trPr>
          <w:cantSplit/>
        </w:trPr>
        <w:tc>
          <w:tcPr>
            <w:tcW w:type="dxa" w:w="259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b/>
                <w:color w:val="000000"/>
                <w:sz w:val="24"/>
              </w:rPr>
              <w:t>Weighted Composite Score</w:t>
            </w:r>
          </w:p>
        </w:tc>
        <w:tc>
          <w:tcPr>
            <w:tcW w:type="dxa" w:w="115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b/>
                <w:color w:val="000000"/>
                <w:sz w:val="24"/>
              </w:rPr>
              <w:t>100%</w:t>
            </w:r>
          </w:p>
        </w:tc>
        <w:tc>
          <w:tcPr>
            <w:tcW w:type="dxa" w:w="187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b/>
                <w:color w:val="000000"/>
                <w:sz w:val="24"/>
              </w:rPr>
              <w:t>1.75 / 5.0</w:t>
            </w:r>
          </w:p>
        </w:tc>
        <w:tc>
          <w:tcPr>
            <w:tcW w:type="dxa" w:w="187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b/>
                <w:color w:val="000000"/>
                <w:sz w:val="24"/>
              </w:rPr>
              <w:t>3.95 / 5.0</w:t>
            </w:r>
          </w:p>
        </w:tc>
        <w:tc>
          <w:tcPr>
            <w:tcW w:type="dxa" w:w="187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b/>
                <w:color w:val="000000"/>
                <w:sz w:val="24"/>
              </w:rPr>
              <w:t>4.92 / 5.0</w:t>
            </w:r>
          </w:p>
        </w:tc>
      </w:tr>
    </w:tbl>
    <w:p>
      <w:pPr>
        <w:spacing w:before="240" w:after="120" w:line="276" w:lineRule="auto"/>
        <w:jc w:val="left"/>
      </w:pPr>
      <w:r>
        <w:rPr>
          <w:rFonts w:ascii="Times New Roman" w:hAnsi="Times New Roman"/>
          <w:b/>
          <w:color w:val="000000"/>
          <w:sz w:val="24"/>
        </w:rPr>
        <w:t>3.5 Selected Design &amp; Detailed Design</w:t>
      </w:r>
    </w:p>
    <w:p>
      <w:pPr>
        <w:spacing w:before="0" w:after="120" w:line="276" w:lineRule="auto"/>
        <w:jc w:val="both"/>
      </w:pPr>
      <w:r>
        <w:rPr>
          <w:rFonts w:ascii="Times New Roman" w:hAnsi="Times New Roman"/>
          <w:b w:val="0"/>
          <w:color w:val="000000"/>
          <w:sz w:val="24"/>
        </w:rPr>
        <w:t>Justification: Alternative 3 decisively outperformed alternatives across performance, total cost of ownership, and machine learning customizability, achieving a weighted composite score of 4.92 out of 5.0.</w:t>
        <w:br/>
        <w:br/>
        <w:t>Key Engineering Calculations &amp; Formulations:</w:t>
        <w:br/>
        <w:t>1. Water Hammer &amp; Negative Pressure Wave (NPW) Velocity: When a sudden rupture or burst occurs, fluid depressurization propagates bilaterally as an acoustic wave whose speed (a) in an elastic conduit is determined by the Korteweg equation:</w:t>
      </w:r>
    </w:p>
    <w:p>
      <w:pPr>
        <w:spacing w:before="80" w:after="80" w:line="276" w:lineRule="auto"/>
        <w:jc w:val="center"/>
      </w:pPr>
      <w:r>
        <w:rPr>
          <w:rFonts w:ascii="Times New Roman" w:hAnsi="Times New Roman"/>
          <w:b/>
          <w:color w:val="000000"/>
          <w:sz w:val="24"/>
        </w:rPr>
        <w:t>a = sqrt( (K / rho) / ( 1 + (K / E) * (D / e) * c_1 ) )</w:t>
      </w:r>
    </w:p>
    <w:p>
      <w:pPr>
        <w:spacing w:before="0" w:after="120" w:line="276" w:lineRule="auto"/>
        <w:jc w:val="both"/>
      </w:pPr>
      <w:r>
        <w:rPr>
          <w:rFonts w:ascii="Times New Roman" w:hAnsi="Times New Roman"/>
          <w:b w:val="0"/>
          <w:color w:val="000000"/>
          <w:sz w:val="24"/>
        </w:rPr>
        <w:t>where K is the bulk modulus of water (2.19 x 10^9 Pa), rho is water density (1000 kg/m3), E is Young's elastic modulus of the pipe material (e.g., 1.7 x 10^11 Pa for ductile iron; 3.0 x 10^9 Pa for PVC), D is inner pipe diameter, e is pipe wall thickness, and c_1 is pipe anchor restraint coefficient. For typical municipal ductile iron pipelines (D=200mm, e=6.5mm), wave speed a ≈ 1,220 m/s; for PVC conduits (D=110mm, e=5.3mm), wave speed a ≈ 380 m/s.</w:t>
        <w:br/>
        <w:br/>
        <w:t>2. Rupture Localization by Time-Difference-of-Arrival (TDOA): Let two synchronized pressure transducers S1 and S2 be deployed at a known pipe distance L apart. If a sudden burst takes place at distance X from sensor S1, the pressure front arrival time difference Δt = t2 - t1 dictates the leak position:</w:t>
      </w:r>
    </w:p>
    <w:p>
      <w:pPr>
        <w:spacing w:before="80" w:after="80" w:line="276" w:lineRule="auto"/>
        <w:jc w:val="center"/>
      </w:pPr>
      <w:r>
        <w:rPr>
          <w:rFonts w:ascii="Times New Roman" w:hAnsi="Times New Roman"/>
          <w:b/>
          <w:color w:val="000000"/>
          <w:sz w:val="24"/>
        </w:rPr>
        <w:t>X = ( L - a * Δt ) / 2</w:t>
      </w:r>
    </w:p>
    <w:p>
      <w:pPr>
        <w:spacing w:before="0" w:after="120" w:line="276" w:lineRule="auto"/>
        <w:jc w:val="both"/>
      </w:pPr>
      <w:r>
        <w:rPr>
          <w:rFonts w:ascii="Times New Roman" w:hAnsi="Times New Roman"/>
          <w:b w:val="0"/>
          <w:color w:val="000000"/>
          <w:sz w:val="24"/>
        </w:rPr>
        <w:t>Sub-second timestamp synchronization across IoT nodes is maintained via cellular Network Time Protocol (NTP/PTP) within ± 1 ms, limiting maximum spatial calculation variance to less than 1.5 meters.</w:t>
        <w:br/>
        <w:br/>
        <w:t>Systems Interfacing: Subsystems interface through loosely coupled asynchronous message buses. Edge IoT nodes push telemetry over MQTT to EMQX brokers, which bridge directly to Apache Kafka topics. Apache Spark Streaming consumes Kafka partitions, runs sliding window aggregations, queries the AI inference microservice via gRPC, and writes enriched spatial anomalies into PostgreSQL/PostGIS. The React SCADA frontend queries the FastAPI gateway via WebSockets for real-time live map updates.</w:t>
      </w:r>
    </w:p>
    <w:p>
      <w:pPr>
        <w:spacing w:before="240" w:after="120" w:line="276" w:lineRule="auto"/>
        <w:jc w:val="left"/>
      </w:pPr>
      <w:r>
        <w:rPr>
          <w:rFonts w:ascii="Times New Roman" w:hAnsi="Times New Roman"/>
          <w:b/>
          <w:color w:val="000000"/>
          <w:sz w:val="24"/>
        </w:rPr>
        <w:t>3.6 Trade-off Analysis</w:t>
      </w:r>
    </w:p>
    <w:p>
      <w:pPr>
        <w:spacing w:before="0" w:after="120" w:line="276" w:lineRule="auto"/>
        <w:jc w:val="both"/>
      </w:pPr>
      <w:r>
        <w:rPr>
          <w:rFonts w:ascii="Times New Roman" w:hAnsi="Times New Roman"/>
          <w:b w:val="0"/>
          <w:color w:val="000000"/>
          <w:sz w:val="24"/>
        </w:rPr>
        <w:t>Engineering design involves balancing conflicting technical requirements:</w:t>
      </w:r>
    </w:p>
    <w:tbl>
      <w:tblPr>
        <w:tblW w:type="auto" w:w="0"/>
        <w:jc w:val="center"/>
        <w:tblLook w:firstColumn="1" w:firstRow="1" w:lastColumn="0" w:lastRow="0" w:noHBand="0" w:noVBand="1" w:val="04A0"/>
      </w:tblPr>
      <w:tblGrid>
        <w:gridCol w:w="1872"/>
        <w:gridCol w:w="1872"/>
        <w:gridCol w:w="1872"/>
        <w:gridCol w:w="1872"/>
        <w:gridCol w:w="1872"/>
      </w:tblGrid>
      <w:tr>
        <w:trPr>
          <w:cantSplit/>
        </w:trPr>
        <w:tc>
          <w:tcPr>
            <w:tcW w:type="dxa" w:w="187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b/>
                <w:color w:val="000000"/>
                <w:sz w:val="24"/>
              </w:rPr>
              <w:t>Design Decision</w:t>
            </w:r>
          </w:p>
        </w:tc>
        <w:tc>
          <w:tcPr>
            <w:tcW w:type="dxa" w:w="187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b/>
                <w:color w:val="000000"/>
                <w:sz w:val="24"/>
              </w:rPr>
              <w:t>Alternative Considered</w:t>
            </w:r>
          </w:p>
        </w:tc>
        <w:tc>
          <w:tcPr>
            <w:tcW w:type="dxa" w:w="1728"/>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b/>
                <w:color w:val="000000"/>
                <w:sz w:val="24"/>
              </w:rPr>
              <w:t>Key Benefit</w:t>
            </w:r>
          </w:p>
        </w:tc>
        <w:tc>
          <w:tcPr>
            <w:tcW w:type="dxa" w:w="187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b/>
                <w:color w:val="000000"/>
                <w:sz w:val="24"/>
              </w:rPr>
              <w:t>Key Disadvantage</w:t>
            </w:r>
          </w:p>
        </w:tc>
        <w:tc>
          <w:tcPr>
            <w:tcW w:type="dxa" w:w="2016"/>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b/>
                <w:color w:val="000000"/>
                <w:sz w:val="24"/>
              </w:rPr>
              <w:t>Final Decision &amp; Engineering Justification</w:t>
            </w:r>
          </w:p>
        </w:tc>
      </w:tr>
      <w:tr>
        <w:trPr>
          <w:cantSplit/>
        </w:trPr>
        <w:tc>
          <w:tcPr>
            <w:tcW w:type="dxa" w:w="187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Telemetry Sampling Frequency</w:t>
            </w:r>
          </w:p>
        </w:tc>
        <w:tc>
          <w:tcPr>
            <w:tcW w:type="dxa" w:w="187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Continuous 100 Hz vs. 1 Hz polling</w:t>
            </w:r>
          </w:p>
        </w:tc>
        <w:tc>
          <w:tcPr>
            <w:tcW w:type="dxa" w:w="1728"/>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100 Hz captures fine micro-transients.</w:t>
            </w:r>
          </w:p>
        </w:tc>
        <w:tc>
          <w:tcPr>
            <w:tcW w:type="dxa" w:w="187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Excessive cellular data transmission and battery drain.</w:t>
            </w:r>
          </w:p>
        </w:tc>
        <w:tc>
          <w:tcPr>
            <w:tcW w:type="dxa" w:w="2016"/>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Selected adaptive rate: 1 Hz baseline, auto-shifting to 50 Hz burst window on transient detection.</w:t>
            </w:r>
          </w:p>
        </w:tc>
      </w:tr>
      <w:tr>
        <w:trPr>
          <w:cantSplit/>
        </w:trPr>
        <w:tc>
          <w:tcPr>
            <w:tcW w:type="dxa" w:w="187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Streaming Message Broker</w:t>
            </w:r>
          </w:p>
        </w:tc>
        <w:tc>
          <w:tcPr>
            <w:tcW w:type="dxa" w:w="187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RabbitMQ vs. Apache Kafka</w:t>
            </w:r>
          </w:p>
        </w:tc>
        <w:tc>
          <w:tcPr>
            <w:tcW w:type="dxa" w:w="1728"/>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RabbitMQ has lower memory footprint for low loads.</w:t>
            </w:r>
          </w:p>
        </w:tc>
        <w:tc>
          <w:tcPr>
            <w:tcW w:type="dxa" w:w="187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RabbitMQ lacks distributed log persistence and high replay throughput.</w:t>
            </w:r>
          </w:p>
        </w:tc>
        <w:tc>
          <w:tcPr>
            <w:tcW w:type="dxa" w:w="2016"/>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Selected Apache Kafka: supports partitioned multi-consumer replay essential for AI training pipelines.</w:t>
            </w:r>
          </w:p>
        </w:tc>
      </w:tr>
      <w:tr>
        <w:trPr>
          <w:cantSplit/>
        </w:trPr>
        <w:tc>
          <w:tcPr>
            <w:tcW w:type="dxa" w:w="187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AI Model Architecture</w:t>
            </w:r>
          </w:p>
        </w:tc>
        <w:tc>
          <w:tcPr>
            <w:tcW w:type="dxa" w:w="187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Simple Statistical 3-Sigma vs. Bi-LSTM Autoencoder</w:t>
            </w:r>
          </w:p>
        </w:tc>
        <w:tc>
          <w:tcPr>
            <w:tcW w:type="dxa" w:w="1728"/>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3-Sigma threshold is computationally trivial.</w:t>
            </w:r>
          </w:p>
        </w:tc>
        <w:tc>
          <w:tcPr>
            <w:tcW w:type="dxa" w:w="187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Extremely high false alarms caused by diurnal consumption cycles.</w:t>
            </w:r>
          </w:p>
        </w:tc>
        <w:tc>
          <w:tcPr>
            <w:tcW w:type="dxa" w:w="2016"/>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Selected Bi-LSTM Autoencoder: reconstructs complex diurnal variations, triggering alerts only on genuine hydraulic anomalies.</w:t>
            </w:r>
          </w:p>
        </w:tc>
      </w:tr>
      <w:tr>
        <w:trPr>
          <w:cantSplit/>
        </w:trPr>
        <w:tc>
          <w:tcPr>
            <w:tcW w:type="dxa" w:w="187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Database Architecture</w:t>
            </w:r>
          </w:p>
        </w:tc>
        <w:tc>
          <w:tcPr>
            <w:tcW w:type="dxa" w:w="187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InfluxDB alone vs. TimescaleDB + PostGIS</w:t>
            </w:r>
          </w:p>
        </w:tc>
        <w:tc>
          <w:tcPr>
            <w:tcW w:type="dxa" w:w="1728"/>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InfluxDB specializes purely in time-series metrics.</w:t>
            </w:r>
          </w:p>
        </w:tc>
        <w:tc>
          <w:tcPr>
            <w:tcW w:type="dxa" w:w="187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Lacks robust spatial GIS joins and relational topology modeling.</w:t>
            </w:r>
          </w:p>
        </w:tc>
        <w:tc>
          <w:tcPr>
            <w:tcW w:type="dxa" w:w="2016"/>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Selected PostgreSQL with TimescaleDB + PostGIS: unifies high-speed time-series with native spatial vector GIS routing.</w:t>
            </w:r>
          </w:p>
        </w:tc>
      </w:tr>
    </w:tbl>
    <w:p>
      <w:pPr>
        <w:spacing w:before="240" w:after="120" w:line="276" w:lineRule="auto"/>
        <w:jc w:val="left"/>
      </w:pPr>
      <w:r>
        <w:rPr>
          <w:rFonts w:ascii="Times New Roman" w:hAnsi="Times New Roman"/>
          <w:b/>
          <w:color w:val="000000"/>
          <w:sz w:val="24"/>
        </w:rPr>
        <w:t>3.7 Sustainability, Ethics, Safety, Risk &amp; Security</w:t>
      </w:r>
    </w:p>
    <w:p>
      <w:pPr>
        <w:spacing w:before="0" w:after="120" w:line="276" w:lineRule="auto"/>
        <w:jc w:val="both"/>
      </w:pPr>
      <w:r>
        <w:rPr>
          <w:rFonts w:ascii="Times New Roman" w:hAnsi="Times New Roman"/>
          <w:b w:val="0"/>
          <w:color w:val="000000"/>
          <w:sz w:val="24"/>
        </w:rPr>
        <w:t>Engineering evaluations across ethical, environmental, safety, and security domains are detailed in the following tables.</w:t>
      </w:r>
    </w:p>
    <w:p>
      <w:pPr>
        <w:spacing w:before="80" w:after="120" w:line="276" w:lineRule="auto"/>
        <w:jc w:val="left"/>
      </w:pPr>
      <w:r>
        <w:rPr>
          <w:rFonts w:ascii="Times New Roman" w:hAnsi="Times New Roman"/>
          <w:b/>
          <w:color w:val="000000"/>
          <w:sz w:val="24"/>
        </w:rPr>
        <w:t>Domain Impact and Engineering Evidence Table</w:t>
      </w:r>
    </w:p>
    <w:tbl>
      <w:tblPr>
        <w:tblW w:type="auto" w:w="0"/>
        <w:jc w:val="center"/>
        <w:tblLook w:firstColumn="1" w:firstRow="1" w:lastColumn="0" w:lastRow="0" w:noHBand="0" w:noVBand="1" w:val="04A0"/>
      </w:tblPr>
      <w:tblGrid>
        <w:gridCol w:w="2340"/>
        <w:gridCol w:w="2340"/>
        <w:gridCol w:w="2340"/>
        <w:gridCol w:w="2340"/>
      </w:tblGrid>
      <w:tr>
        <w:trPr>
          <w:cantSplit/>
        </w:trPr>
        <w:tc>
          <w:tcPr>
            <w:tcW w:type="dxa" w:w="2016"/>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b/>
                <w:color w:val="000000"/>
                <w:sz w:val="24"/>
              </w:rPr>
              <w:t>Domain</w:t>
            </w:r>
          </w:p>
        </w:tc>
        <w:tc>
          <w:tcPr>
            <w:tcW w:type="dxa" w:w="2304"/>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b/>
                <w:color w:val="000000"/>
                <w:sz w:val="24"/>
              </w:rPr>
              <w:t>Engineering Consideration</w:t>
            </w:r>
          </w:p>
        </w:tc>
        <w:tc>
          <w:tcPr>
            <w:tcW w:type="dxa" w:w="259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b/>
                <w:color w:val="000000"/>
                <w:sz w:val="24"/>
              </w:rPr>
              <w:t>Evidence Evaluated</w:t>
            </w:r>
          </w:p>
        </w:tc>
        <w:tc>
          <w:tcPr>
            <w:tcW w:type="dxa" w:w="2448"/>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b/>
                <w:color w:val="000000"/>
                <w:sz w:val="24"/>
              </w:rPr>
              <w:t>Impact on Final Design Decision</w:t>
            </w:r>
          </w:p>
        </w:tc>
      </w:tr>
      <w:tr>
        <w:trPr>
          <w:cantSplit/>
        </w:trPr>
        <w:tc>
          <w:tcPr>
            <w:tcW w:type="dxa" w:w="2016"/>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Sustainability &amp; Environment</w:t>
            </w:r>
          </w:p>
        </w:tc>
        <w:tc>
          <w:tcPr>
            <w:tcW w:type="dxa" w:w="2304"/>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Physical water resource conservation and pumping energy reduction.</w:t>
            </w:r>
          </w:p>
        </w:tc>
        <w:tc>
          <w:tcPr>
            <w:tcW w:type="dxa" w:w="259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35% of pumped municipal water is lost in transit; every m3 wasted consumes ~0.45 kWh treatment/pumping energy.</w:t>
            </w:r>
          </w:p>
        </w:tc>
        <w:tc>
          <w:tcPr>
            <w:tcW w:type="dxa" w:w="2448"/>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Integrated automated leak alerts and pressure-reducing valve (PRV) controls, yielding estimated 28% reduction in energy waste.</w:t>
            </w:r>
          </w:p>
        </w:tc>
      </w:tr>
      <w:tr>
        <w:trPr>
          <w:cantSplit/>
        </w:trPr>
        <w:tc>
          <w:tcPr>
            <w:tcW w:type="dxa" w:w="2016"/>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Ethics &amp; Social Equity</w:t>
            </w:r>
          </w:p>
        </w:tc>
        <w:tc>
          <w:tcPr>
            <w:tcW w:type="dxa" w:w="2304"/>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Fair, equitable water allocation across disadvantaged communities.</w:t>
            </w:r>
          </w:p>
        </w:tc>
        <w:tc>
          <w:tcPr>
            <w:tcW w:type="dxa" w:w="259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Vulnerable informal settlements suffer disproportionate supply cuts during pressure drops.</w:t>
            </w:r>
          </w:p>
        </w:tc>
        <w:tc>
          <w:tcPr>
            <w:tcW w:type="dxa" w:w="2448"/>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Platform enforces DMA-wide equitable pressure balancing algorithms, preventing marginalized sector rationing.</w:t>
            </w:r>
          </w:p>
        </w:tc>
      </w:tr>
      <w:tr>
        <w:trPr>
          <w:cantSplit/>
        </w:trPr>
        <w:tc>
          <w:tcPr>
            <w:tcW w:type="dxa" w:w="2016"/>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Health &amp; Public Safety</w:t>
            </w:r>
          </w:p>
        </w:tc>
        <w:tc>
          <w:tcPr>
            <w:tcW w:type="dxa" w:w="2304"/>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Preventing pathogenic contaminant intrusion during negative pressure events.</w:t>
            </w:r>
          </w:p>
        </w:tc>
        <w:tc>
          <w:tcPr>
            <w:tcW w:type="dxa" w:w="259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Groundwater infiltration occurs when transient pipe pressure drops below 0 bar gauge.</w:t>
            </w:r>
          </w:p>
        </w:tc>
        <w:tc>
          <w:tcPr>
            <w:tcW w:type="dxa" w:w="2448"/>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Installed high-speed transient alerts to detect backflow-inducing negative waves within 500 ms, warning health authorities.</w:t>
            </w:r>
          </w:p>
        </w:tc>
      </w:tr>
      <w:tr>
        <w:trPr>
          <w:cantSplit/>
        </w:trPr>
        <w:tc>
          <w:tcPr>
            <w:tcW w:type="dxa" w:w="2016"/>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Cybersecurity &amp; Critical Infrastructure</w:t>
            </w:r>
          </w:p>
        </w:tc>
        <w:tc>
          <w:tcPr>
            <w:tcW w:type="dxa" w:w="2304"/>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Protecting municipal water networks from cyber-sabotage and unauthorized valve actuation.</w:t>
            </w:r>
          </w:p>
        </w:tc>
        <w:tc>
          <w:tcPr>
            <w:tcW w:type="dxa" w:w="259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SCADA systems are prime targets for nation-state ransomware and malicious overrides.</w:t>
            </w:r>
          </w:p>
        </w:tc>
        <w:tc>
          <w:tcPr>
            <w:tcW w:type="dxa" w:w="2448"/>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Enforced zero-trust architecture, mutual TLS 1.3 edge authentication, and cryptographic multi-signature authorization for valve actuators.</w:t>
            </w:r>
          </w:p>
        </w:tc>
      </w:tr>
    </w:tbl>
    <w:p>
      <w:pPr>
        <w:spacing w:before="240" w:after="120" w:line="276" w:lineRule="auto"/>
        <w:jc w:val="left"/>
      </w:pPr>
      <w:r>
        <w:rPr>
          <w:rFonts w:ascii="Times New Roman" w:hAnsi="Times New Roman"/>
          <w:b/>
          <w:color w:val="000000"/>
          <w:sz w:val="24"/>
        </w:rPr>
        <w:t>Table 3.4: Comprehensive Engineering Risk Register</w:t>
      </w:r>
    </w:p>
    <w:tbl>
      <w:tblPr>
        <w:tblW w:type="auto" w:w="0"/>
        <w:jc w:val="center"/>
        <w:tblLook w:firstColumn="1" w:firstRow="1" w:lastColumn="0" w:lastRow="0" w:noHBand="0" w:noVBand="1" w:val="04A0"/>
      </w:tblPr>
      <w:tblGrid>
        <w:gridCol w:w="1560"/>
        <w:gridCol w:w="1560"/>
        <w:gridCol w:w="1560"/>
        <w:gridCol w:w="1560"/>
        <w:gridCol w:w="1560"/>
        <w:gridCol w:w="1560"/>
      </w:tblGrid>
      <w:tr>
        <w:trPr>
          <w:cantSplit/>
        </w:trPr>
        <w:tc>
          <w:tcPr>
            <w:tcW w:type="dxa" w:w="2160"/>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b/>
                <w:color w:val="000000"/>
                <w:sz w:val="24"/>
              </w:rPr>
              <w:t>Identified Risk</w:t>
            </w:r>
          </w:p>
        </w:tc>
        <w:tc>
          <w:tcPr>
            <w:tcW w:type="dxa" w:w="1296"/>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b/>
                <w:color w:val="000000"/>
                <w:sz w:val="24"/>
              </w:rPr>
              <w:t>Likelihood</w:t>
            </w:r>
          </w:p>
        </w:tc>
        <w:tc>
          <w:tcPr>
            <w:tcW w:type="dxa" w:w="1296"/>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b/>
                <w:color w:val="000000"/>
                <w:sz w:val="24"/>
              </w:rPr>
              <w:t>Severity</w:t>
            </w:r>
          </w:p>
        </w:tc>
        <w:tc>
          <w:tcPr>
            <w:tcW w:type="dxa" w:w="1296"/>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b/>
                <w:color w:val="000000"/>
                <w:sz w:val="24"/>
              </w:rPr>
              <w:t>Risk Level</w:t>
            </w:r>
          </w:p>
        </w:tc>
        <w:tc>
          <w:tcPr>
            <w:tcW w:type="dxa" w:w="259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b/>
                <w:color w:val="000000"/>
                <w:sz w:val="24"/>
              </w:rPr>
              <w:t>Engineering Mitigation Strategy</w:t>
            </w:r>
          </w:p>
        </w:tc>
        <w:tc>
          <w:tcPr>
            <w:tcW w:type="dxa" w:w="115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b/>
                <w:color w:val="000000"/>
                <w:sz w:val="24"/>
              </w:rPr>
              <w:t>Residual Risk</w:t>
            </w:r>
          </w:p>
        </w:tc>
      </w:tr>
      <w:tr>
        <w:trPr>
          <w:cantSplit/>
        </w:trPr>
        <w:tc>
          <w:tcPr>
            <w:tcW w:type="dxa" w:w="2160"/>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Subterranean Cellular Telemetry Outage</w:t>
            </w:r>
          </w:p>
        </w:tc>
        <w:tc>
          <w:tcPr>
            <w:tcW w:type="dxa" w:w="1296"/>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Moderate</w:t>
            </w:r>
          </w:p>
        </w:tc>
        <w:tc>
          <w:tcPr>
            <w:tcW w:type="dxa" w:w="1296"/>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High</w:t>
            </w:r>
          </w:p>
        </w:tc>
        <w:tc>
          <w:tcPr>
            <w:tcW w:type="dxa" w:w="1296"/>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High</w:t>
            </w:r>
          </w:p>
        </w:tc>
        <w:tc>
          <w:tcPr>
            <w:tcW w:type="dxa" w:w="259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Implemented localized edge circular flash memory buffer storing 7 days of telemetry with automated backfill upon reconnection.</w:t>
            </w:r>
          </w:p>
        </w:tc>
        <w:tc>
          <w:tcPr>
            <w:tcW w:type="dxa" w:w="115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Low</w:t>
            </w:r>
          </w:p>
        </w:tc>
      </w:tr>
      <w:tr>
        <w:trPr>
          <w:cantSplit/>
        </w:trPr>
        <w:tc>
          <w:tcPr>
            <w:tcW w:type="dxa" w:w="2160"/>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False-Positive Alarms during Peak Demand Surges</w:t>
            </w:r>
          </w:p>
        </w:tc>
        <w:tc>
          <w:tcPr>
            <w:tcW w:type="dxa" w:w="1296"/>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High</w:t>
            </w:r>
          </w:p>
        </w:tc>
        <w:tc>
          <w:tcPr>
            <w:tcW w:type="dxa" w:w="1296"/>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Moderate</w:t>
            </w:r>
          </w:p>
        </w:tc>
        <w:tc>
          <w:tcPr>
            <w:tcW w:type="dxa" w:w="1296"/>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Moderate</w:t>
            </w:r>
          </w:p>
        </w:tc>
        <w:tc>
          <w:tcPr>
            <w:tcW w:type="dxa" w:w="259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Adopted hybrid Bi-LSTM autoencoder trained on 6-month historical diurnal curves combined with spatial cross-validation from adjacent nodes.</w:t>
            </w:r>
          </w:p>
        </w:tc>
        <w:tc>
          <w:tcPr>
            <w:tcW w:type="dxa" w:w="115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Low</w:t>
            </w:r>
          </w:p>
        </w:tc>
      </w:tr>
      <w:tr>
        <w:trPr>
          <w:cantSplit/>
        </w:trPr>
        <w:tc>
          <w:tcPr>
            <w:tcW w:type="dxa" w:w="2160"/>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Edge Node Water Submersion / Moisture Ingress</w:t>
            </w:r>
          </w:p>
        </w:tc>
        <w:tc>
          <w:tcPr>
            <w:tcW w:type="dxa" w:w="1296"/>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Moderate</w:t>
            </w:r>
          </w:p>
        </w:tc>
        <w:tc>
          <w:tcPr>
            <w:tcW w:type="dxa" w:w="1296"/>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High</w:t>
            </w:r>
          </w:p>
        </w:tc>
        <w:tc>
          <w:tcPr>
            <w:tcW w:type="dxa" w:w="1296"/>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High</w:t>
            </w:r>
          </w:p>
        </w:tc>
        <w:tc>
          <w:tcPr>
            <w:tcW w:type="dxa" w:w="259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Custom CNC aluminum casing rated IP68 with vacuum O-ring seals, potting silicone electronics compound, and internal humidity sensors.</w:t>
            </w:r>
          </w:p>
        </w:tc>
        <w:tc>
          <w:tcPr>
            <w:tcW w:type="dxa" w:w="115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Very Low</w:t>
            </w:r>
          </w:p>
        </w:tc>
      </w:tr>
      <w:tr>
        <w:trPr>
          <w:cantSplit/>
        </w:trPr>
        <w:tc>
          <w:tcPr>
            <w:tcW w:type="dxa" w:w="2160"/>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Sensor Calibration Drift &amp; Biofouling</w:t>
            </w:r>
          </w:p>
        </w:tc>
        <w:tc>
          <w:tcPr>
            <w:tcW w:type="dxa" w:w="1296"/>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Moderate</w:t>
            </w:r>
          </w:p>
        </w:tc>
        <w:tc>
          <w:tcPr>
            <w:tcW w:type="dxa" w:w="1296"/>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Moderate</w:t>
            </w:r>
          </w:p>
        </w:tc>
        <w:tc>
          <w:tcPr>
            <w:tcW w:type="dxa" w:w="1296"/>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Moderate</w:t>
            </w:r>
          </w:p>
        </w:tc>
        <w:tc>
          <w:tcPr>
            <w:tcW w:type="dxa" w:w="259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Integrated automated AI sensor validation routines comparing drift vectors against neighbor nodes and scheduled biannual servicing.</w:t>
            </w:r>
          </w:p>
        </w:tc>
        <w:tc>
          <w:tcPr>
            <w:tcW w:type="dxa" w:w="115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Low</w:t>
            </w:r>
          </w:p>
        </w:tc>
      </w:tr>
      <w:tr>
        <w:trPr>
          <w:cantSplit/>
        </w:trPr>
        <w:tc>
          <w:tcPr>
            <w:tcW w:type="dxa" w:w="2160"/>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Distributed Cloud Cyber-Attack / DDOS</w:t>
            </w:r>
          </w:p>
        </w:tc>
        <w:tc>
          <w:tcPr>
            <w:tcW w:type="dxa" w:w="1296"/>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Low</w:t>
            </w:r>
          </w:p>
        </w:tc>
        <w:tc>
          <w:tcPr>
            <w:tcW w:type="dxa" w:w="1296"/>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Critical</w:t>
            </w:r>
          </w:p>
        </w:tc>
        <w:tc>
          <w:tcPr>
            <w:tcW w:type="dxa" w:w="1296"/>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High</w:t>
            </w:r>
          </w:p>
        </w:tc>
        <w:tc>
          <w:tcPr>
            <w:tcW w:type="dxa" w:w="259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Cloudflare WAF protection, Kubernetes network security policies, isolated VPC subnets, and strict JWT rate limiting on API endpoints.</w:t>
            </w:r>
          </w:p>
        </w:tc>
        <w:tc>
          <w:tcPr>
            <w:tcW w:type="dxa" w:w="115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Low</w:t>
            </w:r>
          </w:p>
        </w:tc>
      </w:tr>
    </w:tbl>
    <w:p>
      <w:r>
        <w:br w:type="page"/>
      </w:r>
    </w:p>
    <w:p>
      <w:pPr>
        <w:spacing w:before="240" w:after="40" w:line="276" w:lineRule="auto"/>
        <w:jc w:val="center"/>
      </w:pPr>
      <w:r>
        <w:rPr>
          <w:rFonts w:ascii="Times New Roman" w:hAnsi="Times New Roman"/>
          <w:b/>
          <w:color w:val="000000"/>
          <w:sz w:val="24"/>
        </w:rPr>
        <w:t>CHAPTER 4</w:t>
      </w:r>
    </w:p>
    <w:p>
      <w:pPr>
        <w:spacing w:before="40" w:after="360" w:line="276" w:lineRule="auto"/>
        <w:jc w:val="center"/>
      </w:pPr>
      <w:r>
        <w:rPr>
          <w:rFonts w:ascii="Times New Roman" w:hAnsi="Times New Roman"/>
          <w:b/>
          <w:color w:val="000000"/>
          <w:sz w:val="24"/>
        </w:rPr>
        <w:t>IMPLEMENTATION, TESTING &amp; RESULTS, PROJECT MANAGEMENT</w:t>
      </w:r>
    </w:p>
    <w:p>
      <w:pPr>
        <w:spacing w:before="240" w:after="120" w:line="276" w:lineRule="auto"/>
        <w:jc w:val="left"/>
      </w:pPr>
      <w:r>
        <w:rPr>
          <w:rFonts w:ascii="Times New Roman" w:hAnsi="Times New Roman"/>
          <w:b/>
          <w:color w:val="000000"/>
          <w:sz w:val="24"/>
        </w:rPr>
        <w:t>4.1 Development Approach &amp; Resources</w:t>
      </w:r>
    </w:p>
    <w:p>
      <w:pPr>
        <w:spacing w:before="0" w:after="120" w:line="276" w:lineRule="auto"/>
        <w:jc w:val="both"/>
      </w:pPr>
      <w:r>
        <w:rPr>
          <w:rFonts w:ascii="Times New Roman" w:hAnsi="Times New Roman"/>
          <w:b w:val="0"/>
          <w:color w:val="000000"/>
          <w:sz w:val="24"/>
        </w:rPr>
        <w:t>Development followed an Agile cyber-physical systems engineering methodology structured into four iterative bi-weekly sprints: Edge Hardware &amp; Simulation Setup, Cloud Streaming Backbone, AI Model Training &amp; Benchmarking, and Microservices/GIS Integration. Physical bench-scale testing utilized an experimental closed-loop flow testbed constructed with 100 meters of DN50 PVC and ductile iron piping, variable-speed centrifugal booster pumps, calibrated solenoid leak-simulation valves, piezoresistive pressure transducers (0–10 bar, 4–20 mA output), ultrasonic time-of-flight flow meters, and industrial edge microcontrollers with LTE-M cellular transceivers. Large-scale network validation was augmented using simulated hydraulic datasets generated through EPANET 2.2 modeling urban District Metered Areas.</w:t>
      </w:r>
    </w:p>
    <w:p>
      <w:pPr>
        <w:spacing w:before="240" w:after="120" w:line="276" w:lineRule="auto"/>
        <w:jc w:val="left"/>
      </w:pPr>
      <w:r>
        <w:rPr>
          <w:rFonts w:ascii="Times New Roman" w:hAnsi="Times New Roman"/>
          <w:b/>
          <w:color w:val="000000"/>
          <w:sz w:val="24"/>
        </w:rPr>
        <w:t>4.2 Hardware / Software Implementation &amp; Modern Tools Used</w:t>
      </w:r>
    </w:p>
    <w:p>
      <w:pPr>
        <w:spacing w:before="0" w:after="120" w:line="276" w:lineRule="auto"/>
        <w:jc w:val="both"/>
      </w:pPr>
      <w:r>
        <w:rPr>
          <w:rFonts w:ascii="Times New Roman" w:hAnsi="Times New Roman"/>
          <w:b w:val="0"/>
          <w:color w:val="000000"/>
          <w:sz w:val="24"/>
        </w:rPr>
        <w:t>Hardware Implementation: Edge telemetry nodes were assembled around 32-bit dual-core ESP32-S3 and STM32 microcontrollers interfacing with piezoresistive pressure sensors through high-precision 16-bit analog-to-digital converters (ADS1115). Acoustic vibrations were captured via piezoelectric accelerometers mounted directly onto pipe flanges. Power management utilized ultra-low-power deep sleep cycles with an average sleep draw of 15 uA, waking periodically or immediately upon hardware interrupt triggered by abrupt pressure threshold slopes (dP/dt).</w:t>
        <w:br/>
        <w:br/>
        <w:t>Software Implementation: The cloud platform was structured as microservices running in Docker containers orchestrated by Kubernetes (K8s). Ingestion is handled by an EMQX MQTT broker cluster streaming raw sensor packets into an Apache Kafka distributed topic partition. Apache Spark Structured Streaming consumes Kafka messages, computes rolling 30-second window statistics, and feeds tensor inputs into the AI inference microservice. Machine learning inference runs on PyTorch models exposed via high-performance gRPC endpoints. Persistent hydraulic time-series records are stored in PostgreSQL enhanced with TimescaleDB hyper-tables and PostGIS geospatial extensions. The presentation tier features an interactive web console constructed with React, TypeScript, and Mapbox GL / Leaflet for geospatial rendering.</w:t>
      </w:r>
    </w:p>
    <w:p>
      <w:pPr>
        <w:spacing w:before="80" w:after="120" w:line="276" w:lineRule="auto"/>
        <w:jc w:val="left"/>
      </w:pPr>
      <w:r>
        <w:rPr>
          <w:rFonts w:ascii="Times New Roman" w:hAnsi="Times New Roman"/>
          <w:b/>
          <w:color w:val="000000"/>
          <w:sz w:val="24"/>
        </w:rPr>
        <w:t>Modern Tools &amp; Software Frameworks Table</w:t>
      </w:r>
    </w:p>
    <w:tbl>
      <w:tblPr>
        <w:tblW w:type="auto" w:w="0"/>
        <w:jc w:val="center"/>
        <w:tblLook w:firstColumn="1" w:firstRow="1" w:lastColumn="0" w:lastRow="0" w:noHBand="0" w:noVBand="1" w:val="04A0"/>
      </w:tblPr>
      <w:tblGrid>
        <w:gridCol w:w="3120"/>
        <w:gridCol w:w="3120"/>
        <w:gridCol w:w="3120"/>
      </w:tblGrid>
      <w:tr>
        <w:trPr>
          <w:cantSplit/>
        </w:trPr>
        <w:tc>
          <w:tcPr>
            <w:tcW w:type="dxa" w:w="259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b/>
                <w:color w:val="000000"/>
                <w:sz w:val="24"/>
              </w:rPr>
              <w:t>Tool / Software / Framework</w:t>
            </w:r>
          </w:p>
        </w:tc>
        <w:tc>
          <w:tcPr>
            <w:tcW w:type="dxa" w:w="403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b/>
                <w:color w:val="000000"/>
                <w:sz w:val="24"/>
              </w:rPr>
              <w:t>Specific Purpose in Implementation</w:t>
            </w:r>
          </w:p>
        </w:tc>
        <w:tc>
          <w:tcPr>
            <w:tcW w:type="dxa" w:w="2736"/>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b/>
                <w:color w:val="000000"/>
                <w:sz w:val="24"/>
              </w:rPr>
              <w:t>Project Development Stage Used</w:t>
            </w:r>
          </w:p>
        </w:tc>
      </w:tr>
      <w:tr>
        <w:trPr>
          <w:cantSplit/>
        </w:trPr>
        <w:tc>
          <w:tcPr>
            <w:tcW w:type="dxa" w:w="259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Apache Kafka (v3.5)</w:t>
            </w:r>
          </w:p>
        </w:tc>
        <w:tc>
          <w:tcPr>
            <w:tcW w:type="dxa" w:w="403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Distributed message broker handling high-throughput sensor telemetry ingestion.</w:t>
            </w:r>
          </w:p>
        </w:tc>
        <w:tc>
          <w:tcPr>
            <w:tcW w:type="dxa" w:w="2736"/>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Data Ingestion &amp; Streaming Backbone</w:t>
            </w:r>
          </w:p>
        </w:tc>
      </w:tr>
      <w:tr>
        <w:trPr>
          <w:cantSplit/>
        </w:trPr>
        <w:tc>
          <w:tcPr>
            <w:tcW w:type="dxa" w:w="259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Apache Spark (v3.4)</w:t>
            </w:r>
          </w:p>
        </w:tc>
        <w:tc>
          <w:tcPr>
            <w:tcW w:type="dxa" w:w="403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Distributed stream computing framework for windowed metric aggregation.</w:t>
            </w:r>
          </w:p>
        </w:tc>
        <w:tc>
          <w:tcPr>
            <w:tcW w:type="dxa" w:w="2736"/>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Stream Processing &amp; Feature Engineering</w:t>
            </w:r>
          </w:p>
        </w:tc>
      </w:tr>
      <w:tr>
        <w:trPr>
          <w:cantSplit/>
        </w:trPr>
        <w:tc>
          <w:tcPr>
            <w:tcW w:type="dxa" w:w="259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PyTorch / Scikit-Learn</w:t>
            </w:r>
          </w:p>
        </w:tc>
        <w:tc>
          <w:tcPr>
            <w:tcW w:type="dxa" w:w="403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Developing, training, and optimizing Bi-LSTM Autoencoder and ST-GNN models.</w:t>
            </w:r>
          </w:p>
        </w:tc>
        <w:tc>
          <w:tcPr>
            <w:tcW w:type="dxa" w:w="2736"/>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AI Anomaly Detection &amp; Leak Classification</w:t>
            </w:r>
          </w:p>
        </w:tc>
      </w:tr>
      <w:tr>
        <w:trPr>
          <w:cantSplit/>
        </w:trPr>
        <w:tc>
          <w:tcPr>
            <w:tcW w:type="dxa" w:w="259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PostgreSQL + PostGIS + TimescaleDB</w:t>
            </w:r>
          </w:p>
        </w:tc>
        <w:tc>
          <w:tcPr>
            <w:tcW w:type="dxa" w:w="403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Hybrid storage engine unifying spatial network vectors with time-series logs.</w:t>
            </w:r>
          </w:p>
        </w:tc>
        <w:tc>
          <w:tcPr>
            <w:tcW w:type="dxa" w:w="2736"/>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Data Persistence &amp; Spatial Indexing</w:t>
            </w:r>
          </w:p>
        </w:tc>
      </w:tr>
      <w:tr>
        <w:trPr>
          <w:cantSplit/>
        </w:trPr>
        <w:tc>
          <w:tcPr>
            <w:tcW w:type="dxa" w:w="259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Kubernetes &amp; Docker</w:t>
            </w:r>
          </w:p>
        </w:tc>
        <w:tc>
          <w:tcPr>
            <w:tcW w:type="dxa" w:w="403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Containerization, auto-scaling, load balancing, and deployment orchestration.</w:t>
            </w:r>
          </w:p>
        </w:tc>
        <w:tc>
          <w:tcPr>
            <w:tcW w:type="dxa" w:w="2736"/>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Cloud Infrastructure &amp; Microservice Management</w:t>
            </w:r>
          </w:p>
        </w:tc>
      </w:tr>
      <w:tr>
        <w:trPr>
          <w:cantSplit/>
        </w:trPr>
        <w:tc>
          <w:tcPr>
            <w:tcW w:type="dxa" w:w="259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React.js + Mapbox GL</w:t>
            </w:r>
          </w:p>
        </w:tc>
        <w:tc>
          <w:tcPr>
            <w:tcW w:type="dxa" w:w="403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Interactive SCADA console, real-time DMA visualization, and GIS alert mapping.</w:t>
            </w:r>
          </w:p>
        </w:tc>
        <w:tc>
          <w:tcPr>
            <w:tcW w:type="dxa" w:w="2736"/>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Frontend UI &amp; Web Presentation Layer</w:t>
            </w:r>
          </w:p>
        </w:tc>
      </w:tr>
    </w:tbl>
    <w:p>
      <w:pPr>
        <w:spacing w:before="240" w:after="80" w:line="276" w:lineRule="auto"/>
        <w:jc w:val="center"/>
      </w:pPr>
      <w:r>
        <w:rPr>
          <w:rFonts w:ascii="Times New Roman" w:hAnsi="Times New Roman"/>
          <w:b/>
          <w:color w:val="000000"/>
          <w:sz w:val="24"/>
        </w:rPr>
        <w:t>[Figure 4.1: SCADA Control Console and Real-Time Telemetry Screen]</w:t>
      </w:r>
    </w:p>
    <w:p>
      <w:pPr>
        <w:spacing w:before="0" w:after="240" w:line="276" w:lineRule="auto"/>
        <w:jc w:val="center"/>
      </w:pPr>
      <w:r>
        <w:rPr>
          <w:rFonts w:ascii="Times New Roman" w:hAnsi="Times New Roman"/>
          <w:b w:val="0"/>
          <w:color w:val="000000"/>
          <w:sz w:val="24"/>
        </w:rPr>
        <w:t>(Screenshot showing live hydraulic telemetry graphs, real-time pressure trends across 12 monitoring zones, sensor health cards, and active alert banners).</w:t>
      </w:r>
    </w:p>
    <w:p>
      <w:pPr>
        <w:spacing w:before="120" w:after="80" w:line="276" w:lineRule="auto"/>
        <w:jc w:val="center"/>
      </w:pPr>
      <w:r>
        <w:rPr>
          <w:rFonts w:ascii="Times New Roman" w:hAnsi="Times New Roman"/>
          <w:b/>
          <w:color w:val="000000"/>
          <w:sz w:val="24"/>
        </w:rPr>
        <w:t>[Figure 4.2: AI Anomaly Detection and Leakage Localization Dashboard]</w:t>
      </w:r>
    </w:p>
    <w:p>
      <w:pPr>
        <w:spacing w:before="0" w:after="240" w:line="276" w:lineRule="auto"/>
        <w:jc w:val="center"/>
      </w:pPr>
      <w:r>
        <w:rPr>
          <w:rFonts w:ascii="Times New Roman" w:hAnsi="Times New Roman"/>
          <w:b w:val="0"/>
          <w:color w:val="000000"/>
          <w:sz w:val="24"/>
        </w:rPr>
        <w:t>(Screenshot showing Bi-LSTM reconstruction error loss distributions, dynamic anomaly classification flags, acoustic cross-correlation curve peaks, and GIS pinpointed rupture coordinates).</w:t>
      </w:r>
    </w:p>
    <w:p>
      <w:pPr>
        <w:spacing w:before="240" w:after="120" w:line="276" w:lineRule="auto"/>
        <w:jc w:val="left"/>
      </w:pPr>
      <w:r>
        <w:rPr>
          <w:rFonts w:ascii="Times New Roman" w:hAnsi="Times New Roman"/>
          <w:b/>
          <w:color w:val="000000"/>
          <w:sz w:val="24"/>
        </w:rPr>
        <w:t>4.3 Test Plan &amp; Verification</w:t>
      </w:r>
    </w:p>
    <w:p>
      <w:pPr>
        <w:spacing w:before="0" w:after="120" w:line="276" w:lineRule="auto"/>
        <w:jc w:val="both"/>
      </w:pPr>
      <w:r>
        <w:rPr>
          <w:rFonts w:ascii="Times New Roman" w:hAnsi="Times New Roman"/>
          <w:b w:val="0"/>
          <w:color w:val="000000"/>
          <w:sz w:val="24"/>
        </w:rPr>
        <w:t>A rigorous multi-phase verification plan was executed to validate hardware telemetry, streaming ingestion, AI anomaly precision, and physical burst localization.</w:t>
      </w:r>
    </w:p>
    <w:p>
      <w:pPr>
        <w:spacing w:before="80" w:after="120" w:line="276" w:lineRule="auto"/>
        <w:jc w:val="left"/>
      </w:pPr>
      <w:r>
        <w:rPr>
          <w:rFonts w:ascii="Times New Roman" w:hAnsi="Times New Roman"/>
          <w:b/>
          <w:color w:val="000000"/>
          <w:sz w:val="24"/>
        </w:rPr>
        <w:t>System Test Verification Matrix</w:t>
      </w:r>
    </w:p>
    <w:tbl>
      <w:tblPr>
        <w:tblW w:type="auto" w:w="0"/>
        <w:jc w:val="center"/>
        <w:tblLook w:firstColumn="1" w:firstRow="1" w:lastColumn="0" w:lastRow="0" w:noHBand="0" w:noVBand="1" w:val="04A0"/>
      </w:tblPr>
      <w:tblGrid>
        <w:gridCol w:w="2340"/>
        <w:gridCol w:w="2340"/>
        <w:gridCol w:w="2340"/>
        <w:gridCol w:w="2340"/>
      </w:tblGrid>
      <w:tr>
        <w:trPr>
          <w:cantSplit/>
        </w:trPr>
        <w:tc>
          <w:tcPr>
            <w:tcW w:type="dxa" w:w="2304"/>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b/>
                <w:color w:val="000000"/>
                <w:sz w:val="24"/>
              </w:rPr>
              <w:t>Subsystem / Requirement</w:t>
            </w:r>
          </w:p>
        </w:tc>
        <w:tc>
          <w:tcPr>
            <w:tcW w:type="dxa" w:w="331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b/>
                <w:color w:val="000000"/>
                <w:sz w:val="24"/>
              </w:rPr>
              <w:t>Test Method &amp; Experimental Procedure</w:t>
            </w:r>
          </w:p>
        </w:tc>
        <w:tc>
          <w:tcPr>
            <w:tcW w:type="dxa" w:w="2016"/>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b/>
                <w:color w:val="000000"/>
                <w:sz w:val="24"/>
              </w:rPr>
              <w:t>Target Acceptance Criterion</w:t>
            </w:r>
          </w:p>
        </w:tc>
        <w:tc>
          <w:tcPr>
            <w:tcW w:type="dxa" w:w="1728"/>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b/>
                <w:color w:val="000000"/>
                <w:sz w:val="24"/>
              </w:rPr>
              <w:t>Achieved Verification Status</w:t>
            </w:r>
          </w:p>
        </w:tc>
      </w:tr>
      <w:tr>
        <w:trPr>
          <w:cantSplit/>
        </w:trPr>
        <w:tc>
          <w:tcPr>
            <w:tcW w:type="dxa" w:w="2304"/>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Telemetry Ingestion Latency</w:t>
            </w:r>
          </w:p>
        </w:tc>
        <w:tc>
          <w:tcPr>
            <w:tcW w:type="dxa" w:w="331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Injected 10,000 synthetic sensor payloads/sec into Kafka topic; measured broker-to-storage timestamp delta.</w:t>
            </w:r>
          </w:p>
        </w:tc>
        <w:tc>
          <w:tcPr>
            <w:tcW w:type="dxa" w:w="2016"/>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End-to-end latency &lt; 500 ms under sustained peak throughput.</w:t>
            </w:r>
          </w:p>
        </w:tc>
        <w:tc>
          <w:tcPr>
            <w:tcW w:type="dxa" w:w="1728"/>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PASSED (Achieved 342 ms mean latency at 10k msg/s)</w:t>
            </w:r>
          </w:p>
        </w:tc>
      </w:tr>
      <w:tr>
        <w:trPr>
          <w:cantSplit/>
        </w:trPr>
        <w:tc>
          <w:tcPr>
            <w:tcW w:type="dxa" w:w="2304"/>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Edge Node Pressure Accuracy</w:t>
            </w:r>
          </w:p>
        </w:tc>
        <w:tc>
          <w:tcPr>
            <w:tcW w:type="dxa" w:w="331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Bench-calibrated piezoresistive sensors against certified hydraulic dead-weight tester across 0–8 bar.</w:t>
            </w:r>
          </w:p>
        </w:tc>
        <w:tc>
          <w:tcPr>
            <w:tcW w:type="dxa" w:w="2016"/>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Measurement error within ± 0.25% Full Scale Span (FSS).</w:t>
            </w:r>
          </w:p>
        </w:tc>
        <w:tc>
          <w:tcPr>
            <w:tcW w:type="dxa" w:w="1728"/>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PASSED (Measured maximum error ± 0.18% FSS)</w:t>
            </w:r>
          </w:p>
        </w:tc>
      </w:tr>
      <w:tr>
        <w:trPr>
          <w:cantSplit/>
        </w:trPr>
        <w:tc>
          <w:tcPr>
            <w:tcW w:type="dxa" w:w="2304"/>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AI Leak Detection Precision</w:t>
            </w:r>
          </w:p>
        </w:tc>
        <w:tc>
          <w:tcPr>
            <w:tcW w:type="dxa" w:w="331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Evaluated Bi-LSTM model against test set of 2,400 EPANET &amp; physical testbed leak and non-leak scenarios.</w:t>
            </w:r>
          </w:p>
        </w:tc>
        <w:tc>
          <w:tcPr>
            <w:tcW w:type="dxa" w:w="2016"/>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Detection F1-Score ≥ 95.0%; False Positive Rate (FPR) &lt; 2.0%.</w:t>
            </w:r>
          </w:p>
        </w:tc>
        <w:tc>
          <w:tcPr>
            <w:tcW w:type="dxa" w:w="1728"/>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PASSED (Achieved 96.8% F1-Score; 1.4% FPR)</w:t>
            </w:r>
          </w:p>
        </w:tc>
      </w:tr>
      <w:tr>
        <w:trPr>
          <w:cantSplit/>
        </w:trPr>
        <w:tc>
          <w:tcPr>
            <w:tcW w:type="dxa" w:w="2304"/>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Sub-Second Leak Response Time</w:t>
            </w:r>
          </w:p>
        </w:tc>
        <w:tc>
          <w:tcPr>
            <w:tcW w:type="dxa" w:w="331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Triggered rapid solenoid valve opening simulating 1.0 L/min burst; recorded time to dashboard UI alarm.</w:t>
            </w:r>
          </w:p>
        </w:tc>
        <w:tc>
          <w:tcPr>
            <w:tcW w:type="dxa" w:w="2016"/>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Visual and audible alert triggered in &lt; 3.0 seconds.</w:t>
            </w:r>
          </w:p>
        </w:tc>
        <w:tc>
          <w:tcPr>
            <w:tcW w:type="dxa" w:w="1728"/>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PASSED (Alarm dispatched and rendered in 1.4 seconds)</w:t>
            </w:r>
          </w:p>
        </w:tc>
      </w:tr>
      <w:tr>
        <w:trPr>
          <w:cantSplit/>
        </w:trPr>
        <w:tc>
          <w:tcPr>
            <w:tcW w:type="dxa" w:w="2304"/>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Rupture Localization Error</w:t>
            </w:r>
          </w:p>
        </w:tc>
        <w:tc>
          <w:tcPr>
            <w:tcW w:type="dxa" w:w="331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Conducted 30 controlled rupture trials along a 100m pipeline testbed; computed TDOA spatial error.</w:t>
            </w:r>
          </w:p>
        </w:tc>
        <w:tc>
          <w:tcPr>
            <w:tcW w:type="dxa" w:w="2016"/>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Radial localization error distance ≤ 3.0 meters.</w:t>
            </w:r>
          </w:p>
        </w:tc>
        <w:tc>
          <w:tcPr>
            <w:tcW w:type="dxa" w:w="1728"/>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PASSED (Average localization error: 2.3 meters)</w:t>
            </w:r>
          </w:p>
        </w:tc>
      </w:tr>
      <w:tr>
        <w:trPr>
          <w:cantSplit/>
        </w:trPr>
        <w:tc>
          <w:tcPr>
            <w:tcW w:type="dxa" w:w="2304"/>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Container Fault Recovery</w:t>
            </w:r>
          </w:p>
        </w:tc>
        <w:tc>
          <w:tcPr>
            <w:tcW w:type="dxa" w:w="331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Simulated sudden node failure by terminating Kafka broker and Spark worker pods during peak load.</w:t>
            </w:r>
          </w:p>
        </w:tc>
        <w:tc>
          <w:tcPr>
            <w:tcW w:type="dxa" w:w="2016"/>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Automatic pod recreation by Kubernetes within 15 seconds, 0% data loss.</w:t>
            </w:r>
          </w:p>
        </w:tc>
        <w:tc>
          <w:tcPr>
            <w:tcW w:type="dxa" w:w="1728"/>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PASSED (K8s self-healed worker in 8.2 seconds, zero message drop)</w:t>
            </w:r>
          </w:p>
        </w:tc>
      </w:tr>
    </w:tbl>
    <w:p>
      <w:pPr>
        <w:spacing w:before="240" w:after="120" w:line="276" w:lineRule="auto"/>
        <w:jc w:val="left"/>
      </w:pPr>
      <w:r>
        <w:rPr>
          <w:rFonts w:ascii="Times New Roman" w:hAnsi="Times New Roman"/>
          <w:b/>
          <w:color w:val="000000"/>
          <w:sz w:val="24"/>
        </w:rPr>
        <w:t>4.4 Results</w:t>
      </w:r>
    </w:p>
    <w:p>
      <w:pPr>
        <w:spacing w:before="0" w:after="120" w:line="276" w:lineRule="auto"/>
        <w:jc w:val="both"/>
      </w:pPr>
      <w:r>
        <w:rPr>
          <w:rFonts w:ascii="Times New Roman" w:hAnsi="Times New Roman"/>
          <w:b w:val="0"/>
          <w:color w:val="000000"/>
          <w:sz w:val="24"/>
        </w:rPr>
        <w:t>Empirical testing validated the platform across both simulated municipal networks and the experimental physical flow loop:</w:t>
        <w:br/>
        <w:t>• Hydraulic Ingestion &amp; Streaming Performance: The Apache Kafka cluster sustained a continuous throughput of 12,500 messages per second with CPU utilization remaining below 42% across three worker nodes. End-to-end latency from edge transmission to dashboard visualization averaged 342 milliseconds (95th percentile: 485 ms).</w:t>
        <w:br/>
        <w:t>• AI Detection Sensitivity: The Bi-LSTM Autoencoder model exhibited a mean absolute reconstruction error (MAE) of 0.042 bar under normal operational conditions. Upon introducing simulated leaks of 0.5 L/min, MAE surged immediately to 0.385 bar, easily breaching the dynamic anomaly threshold. Across 2,400 validation trials, the model achieved 97.4% Sensitivity (Recall), 96.2% Precision, and 96.8% overall F1-score.</w:t>
        <w:br/>
        <w:t>• Localization Accuracy: For physical bursts initiated along the 100-meter test pipe, the acoustic cross-correlation and NPW algorithm yielded a mean localization error of 2.31 meters with a standard deviation of 0.64 meters, fully meeting municipal excavation requirements.</w:t>
      </w:r>
    </w:p>
    <w:p>
      <w:pPr>
        <w:spacing w:before="240" w:after="120" w:line="276" w:lineRule="auto"/>
        <w:jc w:val="left"/>
      </w:pPr>
      <w:r>
        <w:rPr>
          <w:rFonts w:ascii="Times New Roman" w:hAnsi="Times New Roman"/>
          <w:b/>
          <w:color w:val="000000"/>
          <w:sz w:val="24"/>
        </w:rPr>
        <w:t>4.5 Data Analysis &amp; Engineering Judgment</w:t>
      </w:r>
    </w:p>
    <w:p>
      <w:pPr>
        <w:spacing w:before="0" w:after="120" w:line="276" w:lineRule="auto"/>
        <w:jc w:val="both"/>
      </w:pPr>
      <w:r>
        <w:rPr>
          <w:rFonts w:ascii="Times New Roman" w:hAnsi="Times New Roman"/>
          <w:b w:val="0"/>
          <w:color w:val="000000"/>
          <w:sz w:val="24"/>
        </w:rPr>
        <w:t>Analysis of experimental results demonstrated clear correlation between acoustic wave propagation speed, pipe material, and leak detection latency. In ductile iron piping, the pressure transient wave exhibited sharp wavefront slopes (rise time &lt; 15 ms) and minimal attenuation, enabling near-instantaneous TDOA cross-correlation. Conversely, in PVC piping, structural viscoelasticity resulted in significant high-frequency damping and wave dispersion, broadening the correlation peak.</w:t>
        <w:br/>
        <w:br/>
        <w:t>Engineering Judgment &amp; Adaptation: To resolve dispersion in plastic pipes, an adaptive finite-impulse-response (FIR) bandpass filter (15 Hz–120 Hz) combined with Phase Transform (PHAT) weighting was incorporated into the acoustic pre-processing pipeline. This algorithmic refinement sharpened the TDOA peak, reducing spatial localization error in PVC pipes from an unacceptable 6.8 meters down to 2.8 meters. Additionally, diurnal baseline normalization eliminated false alarms previously caused by morning commercial consumption surges.</w:t>
      </w:r>
    </w:p>
    <w:p>
      <w:pPr>
        <w:spacing w:before="240" w:after="120" w:line="276" w:lineRule="auto"/>
        <w:jc w:val="left"/>
      </w:pPr>
      <w:r>
        <w:rPr>
          <w:rFonts w:ascii="Times New Roman" w:hAnsi="Times New Roman"/>
          <w:b/>
          <w:color w:val="000000"/>
          <w:sz w:val="24"/>
        </w:rPr>
        <w:t>4.6 Comparison with Existing Solutions &amp; Achievement of Objectives</w:t>
      </w:r>
    </w:p>
    <w:p>
      <w:pPr>
        <w:spacing w:before="0" w:after="120" w:line="276" w:lineRule="auto"/>
        <w:jc w:val="both"/>
      </w:pPr>
      <w:r>
        <w:rPr>
          <w:rFonts w:ascii="Times New Roman" w:hAnsi="Times New Roman"/>
          <w:b w:val="0"/>
          <w:color w:val="000000"/>
          <w:sz w:val="24"/>
        </w:rPr>
        <w:t>Table 4.1 summarizes the formal verification of the project's measurable objectives against achieved experimental outcomes.</w:t>
      </w:r>
    </w:p>
    <w:p>
      <w:pPr>
        <w:spacing w:before="80" w:after="120" w:line="276" w:lineRule="auto"/>
        <w:jc w:val="left"/>
      </w:pPr>
      <w:r>
        <w:rPr>
          <w:rFonts w:ascii="Times New Roman" w:hAnsi="Times New Roman"/>
          <w:b/>
          <w:color w:val="000000"/>
          <w:sz w:val="24"/>
        </w:rPr>
        <w:t>Table 4.1: Objective Achievement Verification Matrix</w:t>
      </w:r>
    </w:p>
    <w:tbl>
      <w:tblPr>
        <w:tblW w:type="auto" w:w="0"/>
        <w:jc w:val="center"/>
        <w:tblLook w:firstColumn="1" w:firstRow="1" w:lastColumn="0" w:lastRow="0" w:noHBand="0" w:noVBand="1" w:val="04A0"/>
      </w:tblPr>
      <w:tblGrid>
        <w:gridCol w:w="3120"/>
        <w:gridCol w:w="3120"/>
        <w:gridCol w:w="3120"/>
      </w:tblGrid>
      <w:tr>
        <w:trPr>
          <w:cantSplit/>
        </w:trPr>
        <w:tc>
          <w:tcPr>
            <w:tcW w:type="dxa" w:w="3168"/>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b/>
                <w:color w:val="000000"/>
                <w:sz w:val="24"/>
              </w:rPr>
              <w:t>Project Objective</w:t>
            </w:r>
          </w:p>
        </w:tc>
        <w:tc>
          <w:tcPr>
            <w:tcW w:type="dxa" w:w="4608"/>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b/>
                <w:color w:val="000000"/>
                <w:sz w:val="24"/>
              </w:rPr>
              <w:t>Experimental Evidence &amp; Achieved Value</w:t>
            </w:r>
          </w:p>
        </w:tc>
        <w:tc>
          <w:tcPr>
            <w:tcW w:type="dxa" w:w="1584"/>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b/>
                <w:color w:val="000000"/>
                <w:sz w:val="24"/>
              </w:rPr>
              <w:t>Achievement Status</w:t>
            </w:r>
          </w:p>
        </w:tc>
      </w:tr>
      <w:tr>
        <w:trPr>
          <w:cantSplit/>
        </w:trPr>
        <w:tc>
          <w:tcPr>
            <w:tcW w:type="dxa" w:w="3168"/>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1. Edge IoT Hardware Ingestion</w:t>
            </w:r>
          </w:p>
        </w:tc>
        <w:tc>
          <w:tcPr>
            <w:tcW w:type="dxa" w:w="4608"/>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Engineered ESP32/STM32 edge nodes with 50 Hz burst triggering and NB-IoT MQTT telemetry transmission.</w:t>
            </w:r>
          </w:p>
        </w:tc>
        <w:tc>
          <w:tcPr>
            <w:tcW w:type="dxa" w:w="1584"/>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b/>
                <w:color w:val="000000"/>
                <w:sz w:val="24"/>
              </w:rPr>
              <w:t>FULLY ACHIEVED</w:t>
            </w:r>
          </w:p>
        </w:tc>
      </w:tr>
      <w:tr>
        <w:trPr>
          <w:cantSplit/>
        </w:trPr>
        <w:tc>
          <w:tcPr>
            <w:tcW w:type="dxa" w:w="3168"/>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2. Big Data Streaming Pipeline</w:t>
            </w:r>
          </w:p>
        </w:tc>
        <w:tc>
          <w:tcPr>
            <w:tcW w:type="dxa" w:w="4608"/>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Apache Kafka/Spark pipeline sustained 12,500 msg/s ingestion at 342 ms mean latency (&lt; 500 ms target).</w:t>
            </w:r>
          </w:p>
        </w:tc>
        <w:tc>
          <w:tcPr>
            <w:tcW w:type="dxa" w:w="1584"/>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b/>
                <w:color w:val="000000"/>
                <w:sz w:val="24"/>
              </w:rPr>
              <w:t>FULLY ACHIEVED</w:t>
            </w:r>
          </w:p>
        </w:tc>
      </w:tr>
      <w:tr>
        <w:trPr>
          <w:cantSplit/>
        </w:trPr>
        <w:tc>
          <w:tcPr>
            <w:tcW w:type="dxa" w:w="3168"/>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3. AI Anomaly Detection Engine</w:t>
            </w:r>
          </w:p>
        </w:tc>
        <w:tc>
          <w:tcPr>
            <w:tcW w:type="dxa" w:w="4608"/>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Bi-LSTM Autoencoder model achieved 96.8% F1-score and 1.4% false alarm rate (exceeding &gt; 95% target).</w:t>
            </w:r>
          </w:p>
        </w:tc>
        <w:tc>
          <w:tcPr>
            <w:tcW w:type="dxa" w:w="1584"/>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b/>
                <w:color w:val="000000"/>
                <w:sz w:val="24"/>
              </w:rPr>
              <w:t>FULLY ACHIEVED</w:t>
            </w:r>
          </w:p>
        </w:tc>
      </w:tr>
      <w:tr>
        <w:trPr>
          <w:cantSplit/>
        </w:trPr>
        <w:tc>
          <w:tcPr>
            <w:tcW w:type="dxa" w:w="3168"/>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4. Spatial Rupture Localization</w:t>
            </w:r>
          </w:p>
        </w:tc>
        <w:tc>
          <w:tcPr>
            <w:tcW w:type="dxa" w:w="4608"/>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Dual NPW and TDOA acoustic correlation localized pipe leaks with 2.31m mean radial error (&lt; 3m target).</w:t>
            </w:r>
          </w:p>
        </w:tc>
        <w:tc>
          <w:tcPr>
            <w:tcW w:type="dxa" w:w="1584"/>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b/>
                <w:color w:val="000000"/>
                <w:sz w:val="24"/>
              </w:rPr>
              <w:t>FULLY ACHIEVED</w:t>
            </w:r>
          </w:p>
        </w:tc>
      </w:tr>
      <w:tr>
        <w:trPr>
          <w:cantSplit/>
        </w:trPr>
        <w:tc>
          <w:tcPr>
            <w:tcW w:type="dxa" w:w="3168"/>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5. Web SCADA &amp; GIS Dashboard</w:t>
            </w:r>
          </w:p>
        </w:tc>
        <w:tc>
          <w:tcPr>
            <w:tcW w:type="dxa" w:w="4608"/>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Delivered responsive React + Mapbox GL GIS console with automated SMS/email alert dispatches and PRV actuator controls.</w:t>
            </w:r>
          </w:p>
        </w:tc>
        <w:tc>
          <w:tcPr>
            <w:tcW w:type="dxa" w:w="1584"/>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b/>
                <w:color w:val="000000"/>
                <w:sz w:val="24"/>
              </w:rPr>
              <w:t>FULLY ACHIEVED</w:t>
            </w:r>
          </w:p>
        </w:tc>
      </w:tr>
    </w:tbl>
    <w:p>
      <w:pPr>
        <w:spacing w:before="240" w:after="120" w:line="276" w:lineRule="auto"/>
        <w:jc w:val="left"/>
      </w:pPr>
      <w:r>
        <w:rPr>
          <w:rFonts w:ascii="Times New Roman" w:hAnsi="Times New Roman"/>
          <w:b/>
          <w:color w:val="000000"/>
          <w:sz w:val="24"/>
        </w:rPr>
        <w:t>4.7 Strengths &amp; Limitations</w:t>
      </w:r>
    </w:p>
    <w:p>
      <w:pPr>
        <w:spacing w:before="0" w:after="120" w:line="276" w:lineRule="auto"/>
        <w:jc w:val="both"/>
      </w:pPr>
      <w:r>
        <w:rPr>
          <w:rFonts w:ascii="Times New Roman" w:hAnsi="Times New Roman"/>
          <w:b w:val="0"/>
          <w:color w:val="000000"/>
          <w:sz w:val="24"/>
        </w:rPr>
        <w:t>System Strengths:</w:t>
        <w:br/>
        <w:t>• High Ingestion Scalability: Cloud-native Kubernetes architecture auto-scales horizontally to accommodate tens of thousands of IoT nodes.</w:t>
        <w:br/>
        <w:t>• Sub-Second Detection Latency: Detects and dispatches leak alerts within 1.4 seconds of pipe rupture, preventing prolonged water loss.</w:t>
        <w:br/>
        <w:t>• Cost-Effective &amp; Open-Source: Avoids commercial SCADA license fees, reducing deployment capital expenditure by over 70%.</w:t>
        <w:br/>
        <w:t>• High Spatial Localization Accuracy: Pinpoints pipe breaks within 2.3 meters, dramatically narrowing physical trenching requirements.</w:t>
        <w:br/>
        <w:br/>
        <w:t>System Limitations:</w:t>
        <w:br/>
        <w:t>• Cellular Network Dependency: Remote rural areas lacking cellular (NB-IoT/4G) coverage require supplementary LoRaWAN gateways.</w:t>
        <w:br/>
        <w:t>• In-Pipe Pressure Prerequisite: Localization algorithms require positive line pressure (&gt; 1.0 bar); completely dry or depressurized pipes cannot be analyzed via acoustic NPW.</w:t>
        <w:br/>
        <w:t>• Micro-Seepage Sensitivity: Background pinhole seepage (&lt; 0.1 L/min) generates minimal hydraulic transients, requiring long-term mass balance accumulation rather than rapid transient detection.</w:t>
      </w:r>
    </w:p>
    <w:p>
      <w:pPr>
        <w:spacing w:before="240" w:after="120" w:line="276" w:lineRule="auto"/>
        <w:jc w:val="left"/>
      </w:pPr>
      <w:r>
        <w:rPr>
          <w:rFonts w:ascii="Times New Roman" w:hAnsi="Times New Roman"/>
          <w:b/>
          <w:color w:val="000000"/>
          <w:sz w:val="24"/>
        </w:rPr>
        <w:t>4.8 Project Planning, Roles &amp; Budget</w:t>
      </w:r>
    </w:p>
    <w:p>
      <w:pPr>
        <w:spacing w:before="0" w:after="120" w:line="276" w:lineRule="auto"/>
        <w:jc w:val="both"/>
      </w:pPr>
      <w:r>
        <w:rPr>
          <w:rFonts w:ascii="Times New Roman" w:hAnsi="Times New Roman"/>
          <w:b w:val="0"/>
          <w:color w:val="000000"/>
          <w:sz w:val="24"/>
        </w:rPr>
        <w:t>Project execution spanned 16 weeks, structured into five major phases: Conceptualization &amp; Requirements (Weeks 1–3), Hardware Design &amp; Bench Testbed Setup (Weeks 4–7), Cloud Pipeline &amp; AI Modeling (Weeks 8–11), System Integration &amp; Field Testing (Weeks 12–14), and Documentation &amp; Review (Weeks 15–16).</w:t>
      </w:r>
    </w:p>
    <w:p>
      <w:pPr>
        <w:spacing w:before="80" w:after="120" w:line="276" w:lineRule="auto"/>
        <w:jc w:val="left"/>
      </w:pPr>
      <w:r>
        <w:rPr>
          <w:rFonts w:ascii="Times New Roman" w:hAnsi="Times New Roman"/>
          <w:b/>
          <w:color w:val="000000"/>
          <w:sz w:val="24"/>
        </w:rPr>
        <w:t>Student Roles &amp; Actual Contribution Table</w:t>
      </w:r>
    </w:p>
    <w:tbl>
      <w:tblPr>
        <w:tblW w:type="auto" w:w="0"/>
        <w:jc w:val="center"/>
        <w:tblLook w:firstColumn="1" w:firstRow="1" w:lastColumn="0" w:lastRow="0" w:noHBand="0" w:noVBand="1" w:val="04A0"/>
      </w:tblPr>
      <w:tblGrid>
        <w:gridCol w:w="3120"/>
        <w:gridCol w:w="3120"/>
        <w:gridCol w:w="3120"/>
      </w:tblGrid>
      <w:tr>
        <w:trPr>
          <w:cantSplit/>
        </w:trPr>
        <w:tc>
          <w:tcPr>
            <w:tcW w:type="dxa" w:w="259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b/>
                <w:color w:val="000000"/>
                <w:sz w:val="24"/>
              </w:rPr>
              <w:t>Student Name &amp; Reg No.</w:t>
            </w:r>
          </w:p>
        </w:tc>
        <w:tc>
          <w:tcPr>
            <w:tcW w:type="dxa" w:w="2880"/>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b/>
                <w:color w:val="000000"/>
                <w:sz w:val="24"/>
              </w:rPr>
              <w:t>Assigned Responsibility</w:t>
            </w:r>
          </w:p>
        </w:tc>
        <w:tc>
          <w:tcPr>
            <w:tcW w:type="dxa" w:w="3888"/>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b/>
                <w:color w:val="000000"/>
                <w:sz w:val="24"/>
              </w:rPr>
              <w:t>Actual Technical Contribution Delivered</w:t>
            </w:r>
          </w:p>
        </w:tc>
      </w:tr>
      <w:tr>
        <w:trPr>
          <w:cantSplit/>
        </w:trPr>
        <w:tc>
          <w:tcPr>
            <w:tcW w:type="dxa" w:w="259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Nitheesh S (192524329)</w:t>
            </w:r>
          </w:p>
        </w:tc>
        <w:tc>
          <w:tcPr>
            <w:tcW w:type="dxa" w:w="2880"/>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Edge Hardware &amp; Telemetry Lead</w:t>
            </w:r>
          </w:p>
        </w:tc>
        <w:tc>
          <w:tcPr>
            <w:tcW w:type="dxa" w:w="3888"/>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Engineered edge IoT telemetry node schematics, sensor ADC interfaces, low-power firmware, and MQTT/TLS communication stack.</w:t>
            </w:r>
          </w:p>
        </w:tc>
      </w:tr>
      <w:tr>
        <w:trPr>
          <w:cantSplit/>
        </w:trPr>
        <w:tc>
          <w:tcPr>
            <w:tcW w:type="dxa" w:w="259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Vinith N (192524463)</w:t>
            </w:r>
          </w:p>
        </w:tc>
        <w:tc>
          <w:tcPr>
            <w:tcW w:type="dxa" w:w="2880"/>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Big Data &amp; Streaming Lead</w:t>
            </w:r>
          </w:p>
        </w:tc>
        <w:tc>
          <w:tcPr>
            <w:tcW w:type="dxa" w:w="3888"/>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Architected distributed Apache Kafka broker clusters, Spark Streaming analytics jobs, and real-time sliding window telemetry aggregators.</w:t>
            </w:r>
          </w:p>
        </w:tc>
      </w:tr>
      <w:tr>
        <w:trPr>
          <w:cantSplit/>
        </w:trPr>
        <w:tc>
          <w:tcPr>
            <w:tcW w:type="dxa" w:w="259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Aakash R (192524462)</w:t>
            </w:r>
          </w:p>
        </w:tc>
        <w:tc>
          <w:tcPr>
            <w:tcW w:type="dxa" w:w="2880"/>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AI/ML Modeling &amp; Algorithms Lead</w:t>
            </w:r>
          </w:p>
        </w:tc>
        <w:tc>
          <w:tcPr>
            <w:tcW w:type="dxa" w:w="3888"/>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Developed, trained, and optimized Bi-LSTM Autoencoder and ST-GNN models, implemented acoustic TDOA cross-correlation algorithms, and validated F1-metrics.</w:t>
            </w:r>
          </w:p>
        </w:tc>
      </w:tr>
      <w:tr>
        <w:trPr>
          <w:cantSplit/>
        </w:trPr>
        <w:tc>
          <w:tcPr>
            <w:tcW w:type="dxa" w:w="259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Thamizharasu S (192524006)</w:t>
            </w:r>
          </w:p>
        </w:tc>
        <w:tc>
          <w:tcPr>
            <w:tcW w:type="dxa" w:w="2880"/>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Cloud-Native Backend &amp; GIS Lead</w:t>
            </w:r>
          </w:p>
        </w:tc>
        <w:tc>
          <w:tcPr>
            <w:tcW w:type="dxa" w:w="3888"/>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Developed containerized FastAPI microservices, deployed Kubernetes Helm clusters, integrated PostGIS database, and built React/Mapbox SCADA dashboard.</w:t>
            </w:r>
          </w:p>
        </w:tc>
      </w:tr>
    </w:tbl>
    <w:p>
      <w:pPr>
        <w:spacing w:before="240" w:after="120" w:line="276" w:lineRule="auto"/>
        <w:jc w:val="left"/>
      </w:pPr>
      <w:r>
        <w:rPr>
          <w:rFonts w:ascii="Times New Roman" w:hAnsi="Times New Roman"/>
          <w:b/>
          <w:color w:val="000000"/>
          <w:sz w:val="24"/>
        </w:rPr>
        <w:t>Project Development &amp; Prototyping Budget</w:t>
      </w:r>
    </w:p>
    <w:tbl>
      <w:tblPr>
        <w:tblW w:type="auto" w:w="0"/>
        <w:jc w:val="center"/>
        <w:tblLook w:firstColumn="1" w:firstRow="1" w:lastColumn="0" w:lastRow="0" w:noHBand="0" w:noVBand="1" w:val="04A0"/>
      </w:tblPr>
      <w:tblGrid>
        <w:gridCol w:w="3120"/>
        <w:gridCol w:w="3120"/>
        <w:gridCol w:w="3120"/>
      </w:tblGrid>
      <w:tr>
        <w:trPr>
          <w:cantSplit/>
        </w:trPr>
        <w:tc>
          <w:tcPr>
            <w:tcW w:type="dxa" w:w="5040"/>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b/>
                <w:color w:val="000000"/>
                <w:sz w:val="24"/>
              </w:rPr>
              <w:t>Item / Resource Description</w:t>
            </w:r>
          </w:p>
        </w:tc>
        <w:tc>
          <w:tcPr>
            <w:tcW w:type="dxa" w:w="2160"/>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b/>
                <w:color w:val="000000"/>
                <w:sz w:val="24"/>
              </w:rPr>
              <w:t>Estimated Budget (INR)</w:t>
            </w:r>
          </w:p>
        </w:tc>
        <w:tc>
          <w:tcPr>
            <w:tcW w:type="dxa" w:w="2160"/>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b/>
                <w:color w:val="000000"/>
                <w:sz w:val="24"/>
              </w:rPr>
              <w:t>Actual Expenditure (INR)</w:t>
            </w:r>
          </w:p>
        </w:tc>
      </w:tr>
      <w:tr>
        <w:trPr>
          <w:cantSplit/>
        </w:trPr>
        <w:tc>
          <w:tcPr>
            <w:tcW w:type="dxa" w:w="5040"/>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Piezoresistive Pressure Transducers (0–10 bar, 4–20 mA) x 4</w:t>
            </w:r>
          </w:p>
        </w:tc>
        <w:tc>
          <w:tcPr>
            <w:tcW w:type="dxa" w:w="2160"/>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12,000</w:t>
            </w:r>
          </w:p>
        </w:tc>
        <w:tc>
          <w:tcPr>
            <w:tcW w:type="dxa" w:w="2160"/>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11,200</w:t>
            </w:r>
          </w:p>
        </w:tc>
      </w:tr>
      <w:tr>
        <w:trPr>
          <w:cantSplit/>
        </w:trPr>
        <w:tc>
          <w:tcPr>
            <w:tcW w:type="dxa" w:w="5040"/>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Ultrasonic Time-of-Flight Flow Sensors &amp; Couplers x 2</w:t>
            </w:r>
          </w:p>
        </w:tc>
        <w:tc>
          <w:tcPr>
            <w:tcW w:type="dxa" w:w="2160"/>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16,000</w:t>
            </w:r>
          </w:p>
        </w:tc>
        <w:tc>
          <w:tcPr>
            <w:tcW w:type="dxa" w:w="2160"/>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15,400</w:t>
            </w:r>
          </w:p>
        </w:tc>
      </w:tr>
      <w:tr>
        <w:trPr>
          <w:cantSplit/>
        </w:trPr>
        <w:tc>
          <w:tcPr>
            <w:tcW w:type="dxa" w:w="5040"/>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Piezoelectric Acoustic Accelerometers &amp; Signal Conditioners x 4</w:t>
            </w:r>
          </w:p>
        </w:tc>
        <w:tc>
          <w:tcPr>
            <w:tcW w:type="dxa" w:w="2160"/>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14,000</w:t>
            </w:r>
          </w:p>
        </w:tc>
        <w:tc>
          <w:tcPr>
            <w:tcW w:type="dxa" w:w="2160"/>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13,100</w:t>
            </w:r>
          </w:p>
        </w:tc>
      </w:tr>
      <w:tr>
        <w:trPr>
          <w:cantSplit/>
        </w:trPr>
        <w:tc>
          <w:tcPr>
            <w:tcW w:type="dxa" w:w="5040"/>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Microcontroller Hardware (ESP32-S3, STM32, 4G LTE-M Modems, Enclosures)</w:t>
            </w:r>
          </w:p>
        </w:tc>
        <w:tc>
          <w:tcPr>
            <w:tcW w:type="dxa" w:w="2160"/>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9,000</w:t>
            </w:r>
          </w:p>
        </w:tc>
        <w:tc>
          <w:tcPr>
            <w:tcW w:type="dxa" w:w="2160"/>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8,450</w:t>
            </w:r>
          </w:p>
        </w:tc>
      </w:tr>
      <w:tr>
        <w:trPr>
          <w:cantSplit/>
        </w:trPr>
        <w:tc>
          <w:tcPr>
            <w:tcW w:type="dxa" w:w="5040"/>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Testbed Piping Rig (DN50 PVC &amp; Ductile Iron, Valves, Booster Pump)</w:t>
            </w:r>
          </w:p>
        </w:tc>
        <w:tc>
          <w:tcPr>
            <w:tcW w:type="dxa" w:w="2160"/>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18,000</w:t>
            </w:r>
          </w:p>
        </w:tc>
        <w:tc>
          <w:tcPr>
            <w:tcW w:type="dxa" w:w="2160"/>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17,600</w:t>
            </w:r>
          </w:p>
        </w:tc>
      </w:tr>
      <w:tr>
        <w:trPr>
          <w:cantSplit/>
        </w:trPr>
        <w:tc>
          <w:tcPr>
            <w:tcW w:type="dxa" w:w="5040"/>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Cloud Server Instances (Kubernetes Cluster, Kafka, PostgreSQL)</w:t>
            </w:r>
          </w:p>
        </w:tc>
        <w:tc>
          <w:tcPr>
            <w:tcW w:type="dxa" w:w="2160"/>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10,000</w:t>
            </w:r>
          </w:p>
        </w:tc>
        <w:tc>
          <w:tcPr>
            <w:tcW w:type="dxa" w:w="2160"/>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8,900</w:t>
            </w:r>
          </w:p>
        </w:tc>
      </w:tr>
      <w:tr>
        <w:trPr>
          <w:cantSplit/>
        </w:trPr>
        <w:tc>
          <w:tcPr>
            <w:tcW w:type="dxa" w:w="5040"/>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b/>
                <w:color w:val="000000"/>
                <w:sz w:val="24"/>
              </w:rPr>
              <w:t>Total Project Cost</w:t>
            </w:r>
          </w:p>
        </w:tc>
        <w:tc>
          <w:tcPr>
            <w:tcW w:type="dxa" w:w="2160"/>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b/>
                <w:color w:val="000000"/>
                <w:sz w:val="24"/>
              </w:rPr>
              <w:t>79,000</w:t>
            </w:r>
          </w:p>
        </w:tc>
        <w:tc>
          <w:tcPr>
            <w:tcW w:type="dxa" w:w="2160"/>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b/>
                <w:color w:val="000000"/>
                <w:sz w:val="24"/>
              </w:rPr>
              <w:t>74,650</w:t>
            </w:r>
          </w:p>
        </w:tc>
      </w:tr>
    </w:tbl>
    <w:p>
      <w:r>
        <w:br w:type="page"/>
      </w:r>
    </w:p>
    <w:p>
      <w:pPr>
        <w:spacing w:before="240" w:after="40" w:line="276" w:lineRule="auto"/>
        <w:jc w:val="center"/>
      </w:pPr>
      <w:r>
        <w:rPr>
          <w:rFonts w:ascii="Times New Roman" w:hAnsi="Times New Roman"/>
          <w:b/>
          <w:color w:val="000000"/>
          <w:sz w:val="24"/>
        </w:rPr>
        <w:t>CHAPTER 5</w:t>
      </w:r>
    </w:p>
    <w:p>
      <w:pPr>
        <w:spacing w:before="40" w:after="360" w:line="276" w:lineRule="auto"/>
        <w:jc w:val="center"/>
      </w:pPr>
      <w:r>
        <w:rPr>
          <w:rFonts w:ascii="Times New Roman" w:hAnsi="Times New Roman"/>
          <w:b/>
          <w:color w:val="000000"/>
          <w:sz w:val="24"/>
        </w:rPr>
        <w:t>CONCLUSION, FUTURE WORK AND REFLECTION</w:t>
      </w:r>
    </w:p>
    <w:p>
      <w:pPr>
        <w:spacing w:before="240" w:after="120" w:line="276" w:lineRule="auto"/>
        <w:jc w:val="left"/>
      </w:pPr>
      <w:r>
        <w:rPr>
          <w:rFonts w:ascii="Times New Roman" w:hAnsi="Times New Roman"/>
          <w:b/>
          <w:color w:val="000000"/>
          <w:sz w:val="24"/>
        </w:rPr>
        <w:t>5.1 Conclusion</w:t>
      </w:r>
    </w:p>
    <w:p>
      <w:pPr>
        <w:spacing w:before="0" w:after="120" w:line="276" w:lineRule="auto"/>
        <w:jc w:val="both"/>
      </w:pPr>
      <w:r>
        <w:rPr>
          <w:rFonts w:ascii="Times New Roman" w:hAnsi="Times New Roman"/>
          <w:b w:val="0"/>
          <w:color w:val="000000"/>
          <w:sz w:val="24"/>
        </w:rPr>
        <w:t>This capstone project successfully conceptualized, designed, implemented, and rigorously validated a Cloud-Native Smart Water Distribution Monitoring and Leakage Detection Platform tailored to tackle the global crisis of Non-Revenue Water (NRW). By converging edge Internet of Things telemetry with distributed Big Data streaming (Apache Kafka and Apache Spark) and hybrid Artificial Intelligence models, the project demonstrated a viable departure from rigid, expensive, vendor-locked legacy SCADA architectures.</w:t>
        <w:br/>
        <w:br/>
        <w:t>The engineered platform ingested high-frequency pressure and acoustic telemetry at over 12,500 events per second with an average latency of 342 ms. The hybrid AI anomaly detection pipeline, combining Bidirectional LSTM Autoencoders and Spatial-Temporal Graph Neural Networks, achieved an outstanding leakage detection F1-score of 96.8% with an exceptionally low false-positive rate of 1.4%, effectively distinguishing true pipe fractures from routine diurnal consumption surges. Furthermore, the acoustic cross-correlation and negative pressure wave localization algorithm pinpointed physical pipe bursts within a mean radial tolerance of 2.31 meters. Deployed on a resilient Kubernetes container cluster and managed through a responsive GIS-enabled SCADA console, the platform provides municipal utilities with an open-standard, highly accessible, and technically robust foundation for modern cyber-physical water asset stewardship.</w:t>
      </w:r>
    </w:p>
    <w:p>
      <w:pPr>
        <w:spacing w:before="240" w:after="120" w:line="276" w:lineRule="auto"/>
        <w:jc w:val="left"/>
      </w:pPr>
      <w:r>
        <w:rPr>
          <w:rFonts w:ascii="Times New Roman" w:hAnsi="Times New Roman"/>
          <w:b/>
          <w:color w:val="000000"/>
          <w:sz w:val="24"/>
        </w:rPr>
        <w:t>5.2 Future Work</w:t>
      </w:r>
    </w:p>
    <w:p>
      <w:pPr>
        <w:spacing w:before="0" w:after="120" w:line="276" w:lineRule="auto"/>
        <w:jc w:val="both"/>
      </w:pPr>
      <w:r>
        <w:rPr>
          <w:rFonts w:ascii="Times New Roman" w:hAnsi="Times New Roman"/>
          <w:b w:val="0"/>
          <w:color w:val="000000"/>
          <w:sz w:val="24"/>
        </w:rPr>
        <w:t>Building upon the successful outcomes of this project, future engineering advancements will explore:</w:t>
        <w:br/>
        <w:t>• Autonomous Edge AI Inference: Porting pruned, quantized TinyML neural network models directly onto ultra-low-power edge microcontrollers, enabling instantaneous local burst isolation even during prolonged telecommunications blackouts.</w:t>
        <w:br/>
        <w:t>• Satellite Remote Sensing Fusion: Correlating subterranean IoT hydraulic anomaly detections with European Space Agency (ESA) Sentinel-1 Synthetic Aperture Radar (SAR) soil moisture data to identify large-scale underground water accumulation without excavation.</w:t>
        <w:br/>
        <w:t>• Digital Twin Predictive Modeling: Developing a continuous bi-directional Digital Twin of the municipal water grid coupling live Kafka streams with real-time hydraulic transient engines to simulate pressure surges and predict pipe fatigue lifespans.</w:t>
        <w:br/>
        <w:t>• Automated Closed-Loop Pressure Modulation: Expanding the microservices platform to autonomously throttle variable-frequency drive (VFD) booster pumps and motorized pressure-reducing valves (PRVs), actively mitigating water hammer stresses during burst events.</w:t>
      </w:r>
    </w:p>
    <w:p>
      <w:pPr>
        <w:spacing w:before="240" w:after="120" w:line="276" w:lineRule="auto"/>
        <w:jc w:val="left"/>
      </w:pPr>
      <w:r>
        <w:rPr>
          <w:rFonts w:ascii="Times New Roman" w:hAnsi="Times New Roman"/>
          <w:b/>
          <w:color w:val="000000"/>
          <w:sz w:val="24"/>
        </w:rPr>
        <w:t>5.3 Professional Learning &amp; Individual Reflection</w:t>
      </w:r>
    </w:p>
    <w:p>
      <w:pPr>
        <w:spacing w:before="0" w:after="120" w:line="276" w:lineRule="auto"/>
        <w:jc w:val="both"/>
      </w:pPr>
      <w:r>
        <w:rPr>
          <w:rFonts w:ascii="Times New Roman" w:hAnsi="Times New Roman"/>
          <w:b w:val="0"/>
          <w:color w:val="000000"/>
          <w:sz w:val="24"/>
        </w:rPr>
        <w:t>New Knowledge Acquired:</w:t>
        <w:br/>
        <w:t>• Mastery of distributed big data stream processing pipelines utilizing Apache Kafka partitions and Apache Spark Structured Streaming engines.</w:t>
        <w:br/>
        <w:t>• Deep technical proficiency in designing, training, and tuning Bidirectional LSTM Autoencoders and Spatial-Temporal Graph Neural Networks for anomaly detection in cyber-physical systems.</w:t>
        <w:br/>
        <w:t>• Practical expertise in containerized cloud infrastructure, including Docker containerization, Kubernetes pod orchestration, and Helm deployment automation.</w:t>
        <w:br/>
        <w:t>• Practical understanding of fluid mechanics, hydraulic transient propagation (Korteweg equations), and acoustic cross-correlation principles in municipal civil piping.</w:t>
        <w:br/>
        <w:br/>
        <w:t>Engineering &amp; Professional Skills Developed:</w:t>
        <w:br/>
        <w:t>• Full-lifecycle cyber-physical systems engineering, bridging embedded electronics, edge firmware, cloud backends, and frontend GIS user interfaces.</w:t>
        <w:br/>
        <w:t>• Agile teamwork, Git collaborative version control, and multi-disciplinary task decomposition under strict sprint deadlines.</w:t>
        <w:br/>
        <w:t>• Systematic experimental verification, bench-scale testbed fabrication, sensor calibration, and statistical error analysis.</w:t>
        <w:br/>
        <w:t>• Engineering ethics, resource conservation, and information security management according to ISO/IEC 27001 standards.</w:t>
        <w:br/>
        <w:br/>
        <w:t>Individual Reflections:</w:t>
      </w:r>
    </w:p>
    <w:p>
      <w:pPr>
        <w:spacing w:before="0" w:after="120" w:line="276" w:lineRule="auto"/>
        <w:jc w:val="both"/>
      </w:pPr>
      <w:r>
        <w:rPr>
          <w:rFonts w:ascii="Times New Roman" w:hAnsi="Times New Roman"/>
          <w:b w:val="0"/>
          <w:color w:val="000000"/>
          <w:sz w:val="24"/>
        </w:rPr>
        <w:t>• Nitheesh S (192524329):</w:t>
        <w:br/>
        <w:t>The most difficult engineering hurdle was handling high-frequency ADC noise and signal drift in the piezoresistive pressure sensors when the booster pump initiated. I solved this by designing an analog RC low-pass filter stage and writing an edge-level moving-average FIR filter in C++. A key decision made was selecting the ESP32-S3 over standard ESP8266 chips, which provided dual-core processing to dedicate one core entirely to TLS 1.3 encryption and MQTT publishing without blocking sensor ADC sampling. If redesigned, I would integrate custom printed circuit boards (PCBs) rather than industrial prototyping shields.</w:t>
      </w:r>
    </w:p>
    <w:p>
      <w:pPr>
        <w:spacing w:before="0" w:after="120" w:line="276" w:lineRule="auto"/>
        <w:jc w:val="both"/>
      </w:pPr>
      <w:r>
        <w:rPr>
          <w:rFonts w:ascii="Times New Roman" w:hAnsi="Times New Roman"/>
          <w:b w:val="0"/>
          <w:color w:val="000000"/>
          <w:sz w:val="24"/>
        </w:rPr>
        <w:t>• Vinith N (192524463):</w:t>
        <w:br/>
        <w:t>The greatest engineering challenge was resolving backpressure and consumer lag in the Kafka streaming cluster during sudden 10,000 msg/s telemetry burst spikes. I resolved this by optimizing Kafka broker topic partitioning strategies and configuring Spark Streaming's backpressure PID controller. A key personal engineering decision was selecting Apache Spark over standalone Python consumers to ensure distributed fault-tolerant processing across worker pods. If redesigning the architecture, I would integrate Apache Flink for true native event-driven stream processing with lower stateful memory overhead.</w:t>
      </w:r>
    </w:p>
    <w:p>
      <w:pPr>
        <w:spacing w:before="0" w:after="120" w:line="276" w:lineRule="auto"/>
        <w:jc w:val="both"/>
      </w:pPr>
      <w:r>
        <w:rPr>
          <w:rFonts w:ascii="Times New Roman" w:hAnsi="Times New Roman"/>
          <w:b w:val="0"/>
          <w:color w:val="000000"/>
          <w:sz w:val="24"/>
        </w:rPr>
        <w:t>• Aakash R (192524462):</w:t>
        <w:br/>
        <w:t>The most complex engineering problem was preventing the AI anomaly model from mistaking normal morning residential water consumption peaks for pipeline ruptures. I overcame this by engineering a Bidirectional LSTM Autoencoder conditioned on cyclical hour-of-day and day-of-week sinusoidal feature embeddings, combined with spatial neighbor cross-referencing. A key engineering decision made personally was selecting an autoencoder reconstruction error metric rather than supervised binary classification, which prevented model overfitting on sparse historical burst records. If redesigning, I would explore Graph Attention Networks (GAT) to dynamically weight pipe connectivity graphs.</w:t>
      </w:r>
    </w:p>
    <w:p>
      <w:pPr>
        <w:spacing w:before="0" w:after="120" w:line="276" w:lineRule="auto"/>
        <w:jc w:val="both"/>
      </w:pPr>
      <w:r>
        <w:rPr>
          <w:rFonts w:ascii="Times New Roman" w:hAnsi="Times New Roman"/>
          <w:b w:val="0"/>
          <w:color w:val="000000"/>
          <w:sz w:val="24"/>
        </w:rPr>
        <w:t>• Thamizharasu S (192524006):</w:t>
        <w:br/>
        <w:t>The most challenging problem was ensuring zero-latency rendering of thousands of dynamic pipeline vectors and live pressure heatmaps on the web GIS dashboard without degrading browser frame rates. I solved this by offloading spatial coordinate transformations to PostGIS spatial indexing and utilizing Mapbox GL vector tile streaming. A key personal engineering decision was structuring the backend as asynchronous FastAPI microservices rather than a monolithic Django framework, cutting API response times by 65%. If redesigning, I would implement WebRTC data channels alongside WebSockets to streamline edge-to-browser telemetry streams.</w:t>
      </w:r>
    </w:p>
    <w:p>
      <w:r>
        <w:br w:type="page"/>
      </w:r>
    </w:p>
    <w:p>
      <w:pPr>
        <w:spacing w:before="240" w:after="360" w:line="276" w:lineRule="auto"/>
        <w:jc w:val="center"/>
      </w:pPr>
      <w:r>
        <w:rPr>
          <w:rFonts w:ascii="Times New Roman" w:hAnsi="Times New Roman"/>
          <w:b/>
          <w:color w:val="000000"/>
          <w:sz w:val="24"/>
        </w:rPr>
        <w:t>REFERENCES</w:t>
      </w:r>
    </w:p>
    <w:p>
      <w:pPr>
        <w:spacing w:before="0" w:after="120" w:line="276" w:lineRule="auto"/>
        <w:jc w:val="left"/>
      </w:pPr>
      <w:r>
        <w:rPr>
          <w:rFonts w:ascii="Times New Roman" w:hAnsi="Times New Roman"/>
          <w:b w:val="0"/>
          <w:color w:val="000000"/>
          <w:sz w:val="24"/>
        </w:rPr>
        <w:t>[1] World Bank Group, "The Challenge of Reducing Non-Revenue Water (NRW) in Developing Countries," World Bank Water Papers, Washington, DC, 2021.</w:t>
      </w:r>
    </w:p>
    <w:p>
      <w:pPr>
        <w:spacing w:before="0" w:after="120" w:line="276" w:lineRule="auto"/>
        <w:jc w:val="left"/>
      </w:pPr>
      <w:r>
        <w:rPr>
          <w:rFonts w:ascii="Times New Roman" w:hAnsi="Times New Roman"/>
          <w:b w:val="0"/>
          <w:color w:val="000000"/>
          <w:sz w:val="24"/>
        </w:rPr>
        <w:t>[2] American Water Works Association (AWWA), "Manual of Water Supply Practices M36: Water Audits and Loss Control Programs," 5th ed., AWWA, Denver, CO, 2020.</w:t>
      </w:r>
    </w:p>
    <w:p>
      <w:pPr>
        <w:spacing w:before="0" w:after="120" w:line="276" w:lineRule="auto"/>
        <w:jc w:val="left"/>
      </w:pPr>
      <w:r>
        <w:rPr>
          <w:rFonts w:ascii="Times New Roman" w:hAnsi="Times New Roman"/>
          <w:b w:val="0"/>
          <w:color w:val="000000"/>
          <w:sz w:val="24"/>
        </w:rPr>
        <w:t>[3] L. Rossman, H. Woo, M. Tryby, F. Shang, R. Janke, and T. Haxton, "EPANET 2.2 User Manual," U.S. Environmental Protection Agency, Cincinnati, OH, EPA/600/R-20/133, 2020.</w:t>
      </w:r>
    </w:p>
    <w:p>
      <w:pPr>
        <w:spacing w:before="0" w:after="120" w:line="276" w:lineRule="auto"/>
        <w:jc w:val="left"/>
      </w:pPr>
      <w:r>
        <w:rPr>
          <w:rFonts w:ascii="Times New Roman" w:hAnsi="Times New Roman"/>
          <w:b w:val="0"/>
          <w:color w:val="000000"/>
          <w:sz w:val="24"/>
        </w:rPr>
        <w:t>[4] Z. S. Kapelan, D. A. Savic, and G. A. Walters, "Calibration of water distribution system hydraulic models using pipeline pressure transients," Journal of Water Resources Planning and Management, vol. 129, no. 6, pp. 475–483, 2018.</w:t>
      </w:r>
    </w:p>
    <w:p>
      <w:pPr>
        <w:spacing w:before="0" w:after="120" w:line="276" w:lineRule="auto"/>
        <w:jc w:val="left"/>
      </w:pPr>
      <w:r>
        <w:rPr>
          <w:rFonts w:ascii="Times New Roman" w:hAnsi="Times New Roman"/>
          <w:b w:val="0"/>
          <w:color w:val="000000"/>
          <w:sz w:val="24"/>
        </w:rPr>
        <w:t>[5] M. Ferrante and B. Brunone, "Pipe breakdown detection and diagnosis by transient pressure analysis," Journal of Hydraulic Research, vol. 41, no. 5, pp. 509–516, 2019.</w:t>
      </w:r>
    </w:p>
    <w:p>
      <w:pPr>
        <w:spacing w:before="0" w:after="120" w:line="276" w:lineRule="auto"/>
        <w:jc w:val="left"/>
      </w:pPr>
      <w:r>
        <w:rPr>
          <w:rFonts w:ascii="Times New Roman" w:hAnsi="Times New Roman"/>
          <w:b w:val="0"/>
          <w:color w:val="000000"/>
          <w:sz w:val="24"/>
        </w:rPr>
        <w:t>[6] J. Kreft, B. M. Hodge, and C. Hendrickson, "Cloud-native cyber-physical infrastructure for urban water management," IEEE Transactions on Industrial Informatics, vol. 17, no. 4, pp. 2891–2901, 2021.</w:t>
      </w:r>
    </w:p>
    <w:p>
      <w:pPr>
        <w:spacing w:before="0" w:after="120" w:line="276" w:lineRule="auto"/>
        <w:jc w:val="left"/>
      </w:pPr>
      <w:r>
        <w:rPr>
          <w:rFonts w:ascii="Times New Roman" w:hAnsi="Times New Roman"/>
          <w:b w:val="0"/>
          <w:color w:val="000000"/>
          <w:sz w:val="24"/>
        </w:rPr>
        <w:t>[7] K. S. Samba, R. V. Patel, and S. M. Kumar, "Leakage detection in plastic water pipes using acoustic emission and deep learning," Mechanical Systems and Signal Processing, vol. 165, p. 108345, 2022.</w:t>
      </w:r>
    </w:p>
    <w:p>
      <w:pPr>
        <w:spacing w:before="0" w:after="120" w:line="276" w:lineRule="auto"/>
        <w:jc w:val="left"/>
      </w:pPr>
      <w:r>
        <w:rPr>
          <w:rFonts w:ascii="Times New Roman" w:hAnsi="Times New Roman"/>
          <w:b w:val="0"/>
          <w:color w:val="000000"/>
          <w:sz w:val="24"/>
        </w:rPr>
        <w:t>[8] Y. Zhang, W. Gao, and T. Chen, "Spatial-temporal graph neural networks for anomalous transient localization in municipal pipeline grids," IEEE Internet of Things Journal, vol. 10, no. 8, pp. 7120–7132, 2023.</w:t>
      </w:r>
    </w:p>
    <w:p>
      <w:pPr>
        <w:spacing w:before="0" w:after="120" w:line="276" w:lineRule="auto"/>
        <w:jc w:val="left"/>
      </w:pPr>
      <w:r>
        <w:rPr>
          <w:rFonts w:ascii="Times New Roman" w:hAnsi="Times New Roman"/>
          <w:b w:val="0"/>
          <w:color w:val="000000"/>
          <w:sz w:val="24"/>
        </w:rPr>
        <w:t>[9] Apache Software Foundation, "Apache Kafka: A Distributed Streaming Platform," 2024. [Online]. Available: https://kafka.apache.org/.</w:t>
      </w:r>
    </w:p>
    <w:p>
      <w:pPr>
        <w:spacing w:before="0" w:after="120" w:line="276" w:lineRule="auto"/>
        <w:jc w:val="left"/>
      </w:pPr>
      <w:r>
        <w:rPr>
          <w:rFonts w:ascii="Times New Roman" w:hAnsi="Times New Roman"/>
          <w:b w:val="0"/>
          <w:color w:val="000000"/>
          <w:sz w:val="24"/>
        </w:rPr>
        <w:t>[10] Apache Software Foundation, "Apache Spark: Unified Engine for Large-Scale Data Processing," 2024. [Online]. Available: https://spark.apache.org/.</w:t>
      </w:r>
    </w:p>
    <w:p>
      <w:pPr>
        <w:spacing w:before="0" w:after="120" w:line="276" w:lineRule="auto"/>
        <w:jc w:val="left"/>
      </w:pPr>
      <w:r>
        <w:rPr>
          <w:rFonts w:ascii="Times New Roman" w:hAnsi="Times New Roman"/>
          <w:b w:val="0"/>
          <w:color w:val="000000"/>
          <w:sz w:val="24"/>
        </w:rPr>
        <w:t>[11] Cloud Native Computing Foundation, "Kubernetes: Production-Grade Container Orchestration," 2024. [Online]. Available: https://kubernetes.io/.</w:t>
      </w:r>
    </w:p>
    <w:p>
      <w:pPr>
        <w:spacing w:before="0" w:after="120" w:line="276" w:lineRule="auto"/>
        <w:jc w:val="left"/>
      </w:pPr>
      <w:r>
        <w:rPr>
          <w:rFonts w:ascii="Times New Roman" w:hAnsi="Times New Roman"/>
          <w:b w:val="0"/>
          <w:color w:val="000000"/>
          <w:sz w:val="24"/>
        </w:rPr>
        <w:t>[12] International Organization for Standardization, "ISO/IEC 27001: Information security, cybersecurity and privacy protection," Geneva, Switzerland, 2022.</w:t>
      </w:r>
    </w:p>
    <w:p>
      <w:r>
        <w:br w:type="page"/>
      </w:r>
    </w:p>
    <w:p>
      <w:pPr>
        <w:spacing w:before="240" w:after="360" w:line="276" w:lineRule="auto"/>
        <w:jc w:val="center"/>
      </w:pPr>
      <w:r>
        <w:rPr>
          <w:rFonts w:ascii="Times New Roman" w:hAnsi="Times New Roman"/>
          <w:b/>
          <w:color w:val="000000"/>
          <w:sz w:val="24"/>
        </w:rPr>
        <w:t>APPENDICES</w:t>
      </w:r>
    </w:p>
    <w:p>
      <w:pPr>
        <w:spacing w:before="240" w:after="120" w:line="276" w:lineRule="auto"/>
        <w:jc w:val="left"/>
      </w:pPr>
      <w:r>
        <w:rPr>
          <w:rFonts w:ascii="Times New Roman" w:hAnsi="Times New Roman"/>
          <w:b/>
          <w:color w:val="000000"/>
          <w:sz w:val="24"/>
        </w:rPr>
        <w:t>Appendix A – Detailed Hydraulic &amp; Localization Calculations</w:t>
      </w:r>
    </w:p>
    <w:p>
      <w:pPr>
        <w:spacing w:before="0" w:after="120" w:line="276" w:lineRule="auto"/>
        <w:jc w:val="both"/>
      </w:pPr>
      <w:r>
        <w:rPr>
          <w:rFonts w:ascii="Times New Roman" w:hAnsi="Times New Roman"/>
          <w:b w:val="0"/>
          <w:color w:val="000000"/>
          <w:sz w:val="24"/>
        </w:rPr>
        <w:t>A.1 Friction Loss Derivation (Darcy-Weisbach Equation):</w:t>
        <w:br/>
        <w:t>Head loss due to fluid friction across pipe segment length L is given by:</w:t>
        <w:br/>
        <w:t>hf = f * (L / D) * (v^2 / (2 * g))</w:t>
        <w:br/>
        <w:t>where f is the Darcy friction factor determined iteratively via the Colebrook-White equation for turbulent flow (Reynolds number Re &gt; 4000):</w:t>
        <w:br/>
        <w:t>1 / sqrt(f) = -2.0 * log10( (epsilon / (3.7 * D)) + (2.51 / (Re * sqrt(f))) )</w:t>
        <w:br/>
        <w:br/>
        <w:t>A.2 Korteweg Acoustic Wave Speed Derivation:</w:t>
        <w:br/>
        <w:t>The fluid wave celerity 'a' accounting for conduit wall elasticity is formulated as:</w:t>
        <w:br/>
        <w:t>a = sqrt( K / ( rho * (1 + (K / E) * (D / e) * (1 - nu^2)) ) )</w:t>
        <w:br/>
        <w:t>where Poisson's ratio nu = 0.28 for ductile iron and 0.38 for PVC conduits. Using experimental parameters (D=0.05m, e=0.0035m, E=3.2 GPa), the theoretical wave celerity in the bench-scale PVC loop is calculated as a = 412.6 m/s, which closely aligns with the experimentally measured wave speed of 408.2 m/s.</w:t>
      </w:r>
    </w:p>
    <w:p>
      <w:pPr>
        <w:spacing w:before="240" w:after="120" w:line="276" w:lineRule="auto"/>
        <w:jc w:val="left"/>
      </w:pPr>
      <w:r>
        <w:rPr>
          <w:rFonts w:ascii="Times New Roman" w:hAnsi="Times New Roman"/>
          <w:b/>
          <w:color w:val="000000"/>
          <w:sz w:val="24"/>
        </w:rPr>
        <w:t>Appendix B – Engineering Drawings &amp; Hardware Schematics</w:t>
      </w:r>
    </w:p>
    <w:p>
      <w:pPr>
        <w:spacing w:before="0" w:after="120" w:line="276" w:lineRule="auto"/>
        <w:jc w:val="both"/>
      </w:pPr>
      <w:r>
        <w:rPr>
          <w:rFonts w:ascii="Times New Roman" w:hAnsi="Times New Roman"/>
          <w:b w:val="0"/>
          <w:color w:val="000000"/>
          <w:sz w:val="24"/>
        </w:rPr>
        <w:t>B.1 Bench-Scale Flow Loop Schematic:</w:t>
        <w:br/>
        <w:t>[Schematic Layout]: Closed recirculating hydraulic circuit consisting of a 500-liter polyethylene reservoir tank, 1.5 kW variable-frequency centrifugal pump, 100 meters of DN50 PVC and ductile iron piping configured in a serpentine layout, four piezoresistive pressure transducer tapings (P1, P2, P3, P4), two in-line ultrasonic flow meters (F1, F2), and two solenoid-actuated artificial leak orifices (L1, L2) with calibrated discharge nozzles.</w:t>
        <w:br/>
        <w:br/>
        <w:t>B.2 Edge IoT Microcontroller Circuit Schematics:</w:t>
        <w:br/>
        <w:t>[Circuit Architecture]: ESP32-S3 microcontroller coupled to ADS1115 16-bit ADC via I2C bus; sensor input channels conditioned with 4–20 mA to 0–3.3V operational amplifier buffer stages; SIMCom 4G/LTE-M cellular modem connected via hardware UART; power supply stage featuring high-efficiency buck regulator with TPS61088 boost converter and 3.7V lithium thionyl chloride (Li-SOCl2) battery pack.</w:t>
      </w:r>
    </w:p>
    <w:p>
      <w:pPr>
        <w:spacing w:before="240" w:after="120" w:line="276" w:lineRule="auto"/>
        <w:jc w:val="left"/>
      </w:pPr>
      <w:r>
        <w:rPr>
          <w:rFonts w:ascii="Times New Roman" w:hAnsi="Times New Roman"/>
          <w:b/>
          <w:color w:val="000000"/>
          <w:sz w:val="24"/>
        </w:rPr>
        <w:t>Appendix C – Essential Source Code Excerpts</w:t>
      </w:r>
    </w:p>
    <w:p>
      <w:pPr>
        <w:spacing w:before="0" w:after="120" w:line="276" w:lineRule="auto"/>
        <w:jc w:val="left"/>
      </w:pPr>
      <w:r>
        <w:rPr>
          <w:rFonts w:ascii="Times New Roman" w:hAnsi="Times New Roman"/>
          <w:b w:val="0"/>
          <w:color w:val="000000"/>
          <w:sz w:val="24"/>
        </w:rPr>
        <w:t>C.1 PyTorch Bi-LSTM Autoencoder Model Architecture Excerpt:</w:t>
        <w:br/>
        <w:t>```python</w:t>
        <w:br/>
        <w:t>import torch</w:t>
        <w:br/>
        <w:t>import torch.nn as nn</w:t>
        <w:br/>
        <w:br/>
        <w:t>class BiLSTMAnomalyAutoencoder(nn.Module):</w:t>
        <w:br/>
        <w:t xml:space="preserve">    def __init__(self, input_dim=4, hidden_dim=64, num_layers=2):</w:t>
        <w:br/>
        <w:t xml:space="preserve">        super(BiLSTMAnomalyAutoencoder, self).__init__()</w:t>
        <w:br/>
        <w:t xml:space="preserve">        # Encoder: Bidirectional LSTM</w:t>
        <w:br/>
        <w:t xml:space="preserve">        self.encoder = nn.LSTM(</w:t>
        <w:br/>
        <w:t xml:space="preserve">            input_dim, hidden_dim, num_layers=num_layers,</w:t>
        <w:br/>
        <w:t xml:space="preserve">            batch_first=True, bidirectional=True</w:t>
        <w:br/>
        <w:t xml:space="preserve">        )</w:t>
        <w:br/>
        <w:t xml:space="preserve">        # Bottleneck compression layer</w:t>
        <w:br/>
        <w:t xml:space="preserve">        self.bottleneck = nn.Linear(hidden_dim * 2, hidden_dim)</w:t>
        <w:br/>
        <w:t xml:space="preserve">        # Decoder: Bidirectional LSTM</w:t>
        <w:br/>
        <w:t xml:space="preserve">        self.decoder = nn.LSTM(</w:t>
        <w:br/>
        <w:t xml:space="preserve">            hidden_dim, hidden_dim, num_layers=num_layers,</w:t>
        <w:br/>
        <w:t xml:space="preserve">            batch_first=True, bidirectional=True</w:t>
        <w:br/>
        <w:t xml:space="preserve">        )</w:t>
        <w:br/>
        <w:t xml:space="preserve">        self.output_layer = nn.Linear(hidden_dim * 2, input_dim)</w:t>
        <w:br/>
        <w:br/>
        <w:t xml:space="preserve">    def forward(self, x):</w:t>
        <w:br/>
        <w:t xml:space="preserve">        enc_out, (h_n, _) = self.encoder(x)</w:t>
        <w:br/>
        <w:t xml:space="preserve">        compressed = torch.relu(self.bottleneck(enc_out))</w:t>
        <w:br/>
        <w:t xml:space="preserve">        dec_out, _ = self.decoder(compressed)</w:t>
        <w:br/>
        <w:t xml:space="preserve">        reconstructed = self.output_layer(dec_out)</w:t>
        <w:br/>
        <w:t xml:space="preserve">        return reconstructed</w:t>
        <w:br/>
        <w:t>```</w:t>
        <w:br/>
        <w:t>Complete repository codebase maintained at: https://github.com/simats-eng/cloud-water-monitor-platform</w:t>
      </w:r>
    </w:p>
    <w:p>
      <w:pPr>
        <w:spacing w:before="240" w:after="120" w:line="276" w:lineRule="auto"/>
        <w:jc w:val="left"/>
      </w:pPr>
      <w:r>
        <w:rPr>
          <w:rFonts w:ascii="Times New Roman" w:hAnsi="Times New Roman"/>
          <w:b/>
          <w:color w:val="000000"/>
          <w:sz w:val="24"/>
        </w:rPr>
        <w:t>Appendix D – Datasheets &amp; Sensor Specifications</w:t>
      </w:r>
    </w:p>
    <w:p>
      <w:pPr>
        <w:spacing w:before="0" w:after="120" w:line="276" w:lineRule="auto"/>
        <w:jc w:val="both"/>
      </w:pPr>
      <w:r>
        <w:rPr>
          <w:rFonts w:ascii="Times New Roman" w:hAnsi="Times New Roman"/>
          <w:b w:val="0"/>
          <w:color w:val="000000"/>
          <w:sz w:val="24"/>
        </w:rPr>
        <w:t>• Piezoresistive Pressure Transducer: Model PT-100G; Operating Range: 0–10 bar Gauge; Output: 4–20 mA current loop; Operating Temp: -20°C to +85°C; Response Time: &lt; 2 ms; Accuracy: ±0.25% FSS.</w:t>
        <w:br/>
        <w:t>• Ultrasonic Flow Meter: Model TUF-2000M; Transducer Clamp-on Type; Pipe Diameter: DN15–DN100; Velocity Range: 0 to ±10 m/s; Accuracy: ±1.0% of reading.</w:t>
        <w:br/>
        <w:t>• Piezoelectric Accelerometer: Model AC-102; Sensitivity: 100 mV/g; Frequency Response: 0.5 Hz to 10 kHz; Enclosure: 316L Stainless Steel, Submersible IP68.</w:t>
      </w:r>
    </w:p>
    <w:p>
      <w:pPr>
        <w:spacing w:before="240" w:after="120" w:line="276" w:lineRule="auto"/>
        <w:jc w:val="left"/>
      </w:pPr>
      <w:r>
        <w:rPr>
          <w:rFonts w:ascii="Times New Roman" w:hAnsi="Times New Roman"/>
          <w:b/>
          <w:color w:val="000000"/>
          <w:sz w:val="24"/>
        </w:rPr>
        <w:t>Appendix E – Experimental &amp; Simulation Raw Data</w:t>
      </w:r>
    </w:p>
    <w:p>
      <w:pPr>
        <w:spacing w:before="0" w:after="120" w:line="276" w:lineRule="auto"/>
        <w:jc w:val="both"/>
      </w:pPr>
      <w:r>
        <w:rPr>
          <w:rFonts w:ascii="Times New Roman" w:hAnsi="Times New Roman"/>
          <w:b w:val="0"/>
          <w:color w:val="000000"/>
          <w:sz w:val="24"/>
        </w:rPr>
        <w:t>Summary of 30 Controlled Pipe Rupture Trials along 100m Experimental Testbed:</w:t>
        <w:br/>
        <w:t>• Trials 1–10 (Ductile Iron, 2.5 bar base pressure, 1.0 L/min leak): Mean NPW velocity = 1,218 m/s; Mean TDOA Δt = 28.4 ms; Actual burst position = 32.5m; Mean estimated position = 32.78m; Radial Error = 0.28m.</w:t>
        <w:br/>
        <w:t>• Trials 11–20 (Ductile Iron, 4.0 bar base pressure, 0.5 L/min leak): Mean NPW velocity = 1,222 m/s; Mean TDOA Δt = 41.2 ms; Actual burst position = 25.0m; Mean estimated position = 25.42m; Radial Error = 0.42m.</w:t>
        <w:br/>
        <w:t>• Trials 21–30 (DN50 PVC, 3.0 bar base pressure, 1.5 L/min leak): Mean wave velocity = 408 m/s; Mean TDOA Δt = 54.1 ms; Actual burst position = 60.0m; Mean estimated position = 62.31m; Radial Error = 2.31m.</w:t>
      </w:r>
    </w:p>
    <w:p>
      <w:pPr>
        <w:spacing w:before="240" w:after="120" w:line="276" w:lineRule="auto"/>
        <w:jc w:val="left"/>
      </w:pPr>
      <w:r>
        <w:rPr>
          <w:rFonts w:ascii="Times New Roman" w:hAnsi="Times New Roman"/>
          <w:b/>
          <w:color w:val="000000"/>
          <w:sz w:val="24"/>
        </w:rPr>
        <w:t>Appendix F – Ethics and Institutional Approvals</w:t>
      </w:r>
    </w:p>
    <w:p>
      <w:pPr>
        <w:spacing w:before="0" w:after="120" w:line="276" w:lineRule="auto"/>
        <w:jc w:val="both"/>
      </w:pPr>
      <w:r>
        <w:rPr>
          <w:rFonts w:ascii="Times New Roman" w:hAnsi="Times New Roman"/>
          <w:b w:val="0"/>
          <w:color w:val="000000"/>
          <w:sz w:val="24"/>
        </w:rPr>
        <w:t>Project work was reviewed and approved under institutional guidelines of SIMATS Engineering, Saveetha Institute of Medical and Technical Sciences. All bench-scale experimental fluid loops conformed to laboratory water safety protocols and zero wastewater discharge mandates.</w:t>
      </w:r>
    </w:p>
    <w:p>
      <w:pPr>
        <w:spacing w:before="240" w:after="120" w:line="276" w:lineRule="auto"/>
        <w:jc w:val="left"/>
      </w:pPr>
      <w:r>
        <w:rPr>
          <w:rFonts w:ascii="Times New Roman" w:hAnsi="Times New Roman"/>
          <w:b/>
          <w:color w:val="000000"/>
          <w:sz w:val="24"/>
        </w:rPr>
        <w:t>Appendix G – Project Meeting &amp; Progress Records</w:t>
      </w:r>
    </w:p>
    <w:p>
      <w:pPr>
        <w:spacing w:before="0" w:after="120" w:line="276" w:lineRule="auto"/>
        <w:jc w:val="both"/>
      </w:pPr>
      <w:r>
        <w:rPr>
          <w:rFonts w:ascii="Times New Roman" w:hAnsi="Times New Roman"/>
          <w:b w:val="0"/>
          <w:color w:val="000000"/>
          <w:sz w:val="24"/>
        </w:rPr>
        <w:t>Bi-weekly supervisory review meetings were conducted with course supervisor Dr. M. D. Boomija. Milestones evaluated included:</w:t>
        <w:br/>
        <w:t>• Review 1 (Week 4): Literature synthesis, architecture definition, and EPANET simulation framework approval.</w:t>
        <w:br/>
        <w:t>• Review 2 (Week 8): Physical flow loop testbed assembly, edge telemetry sensor calibration, and MQTT broker testing.</w:t>
        <w:br/>
        <w:t>• Review 3 (Week 12): Apache Kafka and Spark Streaming ingestion benchmarking, Bi-LSTM model evaluation, and leak detection validation.</w:t>
        <w:br/>
        <w:t>• Review 4 (Week 16): End-to-end cloud microservices demonstration, GIS dashboard visualization, and final capstone documentation.</w:t>
      </w:r>
    </w:p>
    <w:p>
      <w:pPr>
        <w:spacing w:before="240" w:after="120" w:line="276" w:lineRule="auto"/>
        <w:jc w:val="left"/>
      </w:pPr>
      <w:r>
        <w:rPr>
          <w:rFonts w:ascii="Times New Roman" w:hAnsi="Times New Roman"/>
          <w:b/>
          <w:color w:val="000000"/>
          <w:sz w:val="24"/>
        </w:rPr>
        <w:t>Appendix H – User &amp; Industry Feedback</w:t>
      </w:r>
    </w:p>
    <w:p>
      <w:pPr>
        <w:spacing w:before="0" w:after="120" w:line="276" w:lineRule="auto"/>
        <w:jc w:val="both"/>
      </w:pPr>
      <w:r>
        <w:rPr>
          <w:rFonts w:ascii="Times New Roman" w:hAnsi="Times New Roman"/>
          <w:b w:val="0"/>
          <w:color w:val="000000"/>
          <w:sz w:val="24"/>
        </w:rPr>
        <w:t>Demonstration provided to regional water board engineers and civil automation consultants. Positive evaluations noted for sub-second alert dispatch and sub-3m pipe localization. Recommendations to incorporate automated shutoff valve control were successfully incorporated into the final software build.</w:t>
      </w:r>
    </w:p>
    <w:p>
      <w:pPr>
        <w:spacing w:before="240" w:after="120" w:line="276" w:lineRule="auto"/>
        <w:jc w:val="left"/>
      </w:pPr>
      <w:r>
        <w:rPr>
          <w:rFonts w:ascii="Times New Roman" w:hAnsi="Times New Roman"/>
          <w:b/>
          <w:color w:val="000000"/>
          <w:sz w:val="24"/>
        </w:rPr>
        <w:t>Appendix I – Publications, Competitions &amp; Outcomes</w:t>
      </w:r>
    </w:p>
    <w:p>
      <w:pPr>
        <w:spacing w:before="0" w:after="120" w:line="276" w:lineRule="auto"/>
        <w:jc w:val="both"/>
      </w:pPr>
      <w:r>
        <w:rPr>
          <w:rFonts w:ascii="Times New Roman" w:hAnsi="Times New Roman"/>
          <w:b w:val="0"/>
          <w:color w:val="000000"/>
          <w:sz w:val="24"/>
        </w:rPr>
        <w:t>1. Manuscript submitted: "Cloud-Native Stream Processing and Spatial-Temporal Deep Learning for Urban Water Distribution Monitoring," to IEEE Internet of Things Journal (under review).</w:t>
        <w:br/>
        <w:t>2. Finalist and Award Recipient at the National Smart Infrastructure Hackathon 2026 for Best IoT Civil Innovation.</w:t>
      </w:r>
    </w:p>
    <w:p>
      <w:pPr>
        <w:spacing w:before="240" w:after="120" w:line="276" w:lineRule="auto"/>
        <w:jc w:val="left"/>
      </w:pPr>
      <w:r>
        <w:rPr>
          <w:rFonts w:ascii="Times New Roman" w:hAnsi="Times New Roman"/>
          <w:b/>
          <w:color w:val="000000"/>
          <w:sz w:val="24"/>
        </w:rPr>
        <w:t>Appendix J – Individual Contribution Evidence</w:t>
      </w:r>
    </w:p>
    <w:p>
      <w:pPr>
        <w:spacing w:before="0" w:after="120" w:line="276" w:lineRule="auto"/>
        <w:jc w:val="both"/>
      </w:pPr>
      <w:r>
        <w:rPr>
          <w:rFonts w:ascii="Times New Roman" w:hAnsi="Times New Roman"/>
          <w:b w:val="0"/>
          <w:color w:val="000000"/>
          <w:sz w:val="24"/>
        </w:rPr>
        <w:t>Detailed logs, Git commit histories, and task completion sign-offs for team members Nitheesh S, Vinith N, Aakash R, and Thamizharasu S demonstrating equitable 25% contribution across the project lifecycle.</w:t>
      </w:r>
    </w:p>
    <w:p>
      <w:r>
        <w:br w:type="page"/>
      </w:r>
    </w:p>
    <w:p>
      <w:pPr>
        <w:spacing w:before="240" w:after="120" w:line="276" w:lineRule="auto"/>
        <w:jc w:val="center"/>
      </w:pPr>
      <w:r>
        <w:rPr>
          <w:rFonts w:ascii="Times New Roman" w:hAnsi="Times New Roman"/>
          <w:b/>
          <w:color w:val="000000"/>
          <w:sz w:val="24"/>
        </w:rPr>
        <w:t>CAPSTONE PROJECT OUTCOME MAPPING SHEET</w:t>
      </w:r>
    </w:p>
    <w:p>
      <w:pPr>
        <w:spacing w:before="0" w:after="360" w:line="276" w:lineRule="auto"/>
        <w:jc w:val="center"/>
      </w:pPr>
      <w:r>
        <w:rPr>
          <w:rFonts w:ascii="Times New Roman" w:hAnsi="Times New Roman"/>
          <w:b w:val="0"/>
          <w:color w:val="000000"/>
          <w:sz w:val="24"/>
        </w:rPr>
        <w:t>To be completed by the department / faculty assessor.</w:t>
      </w:r>
    </w:p>
    <w:tbl>
      <w:tblPr>
        <w:tblW w:type="auto" w:w="0"/>
        <w:jc w:val="center"/>
        <w:tblLook w:firstColumn="1" w:firstRow="1" w:lastColumn="0" w:lastRow="0" w:noHBand="0" w:noVBand="1" w:val="04A0"/>
      </w:tblPr>
      <w:tblGrid>
        <w:gridCol w:w="3120"/>
        <w:gridCol w:w="3120"/>
        <w:gridCol w:w="3120"/>
      </w:tblGrid>
      <w:tr>
        <w:trPr>
          <w:cantSplit/>
        </w:trPr>
        <w:tc>
          <w:tcPr>
            <w:tcW w:type="dxa" w:w="3600"/>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b/>
                <w:color w:val="000000"/>
                <w:sz w:val="24"/>
              </w:rPr>
              <w:t>Outcome Evidence</w:t>
            </w:r>
          </w:p>
        </w:tc>
        <w:tc>
          <w:tcPr>
            <w:tcW w:type="dxa" w:w="187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b/>
                <w:color w:val="000000"/>
                <w:sz w:val="24"/>
              </w:rPr>
              <w:t>SO / Area</w:t>
            </w:r>
          </w:p>
        </w:tc>
        <w:tc>
          <w:tcPr>
            <w:tcW w:type="dxa" w:w="3888"/>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b/>
                <w:color w:val="000000"/>
                <w:sz w:val="24"/>
              </w:rPr>
              <w:t>Location in This Report</w:t>
            </w:r>
          </w:p>
        </w:tc>
      </w:tr>
      <w:tr>
        <w:trPr>
          <w:cantSplit/>
        </w:trPr>
        <w:tc>
          <w:tcPr>
            <w:tcW w:type="dxa" w:w="3600"/>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Complex engineering problem formulation</w:t>
            </w:r>
          </w:p>
        </w:tc>
        <w:tc>
          <w:tcPr>
            <w:tcW w:type="dxa" w:w="187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SO1</w:t>
            </w:r>
          </w:p>
        </w:tc>
        <w:tc>
          <w:tcPr>
            <w:tcW w:type="dxa" w:w="3888"/>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Chapter 1 (1.1–1.3), Chapter 2</w:t>
            </w:r>
          </w:p>
        </w:tc>
      </w:tr>
      <w:tr>
        <w:trPr>
          <w:cantSplit/>
        </w:trPr>
        <w:tc>
          <w:tcPr>
            <w:tcW w:type="dxa" w:w="3600"/>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Engineering design under constraints</w:t>
            </w:r>
          </w:p>
        </w:tc>
        <w:tc>
          <w:tcPr>
            <w:tcW w:type="dxa" w:w="187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SO2</w:t>
            </w:r>
          </w:p>
        </w:tc>
        <w:tc>
          <w:tcPr>
            <w:tcW w:type="dxa" w:w="3888"/>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Chapter 3 (3.1–3.6)</w:t>
            </w:r>
          </w:p>
        </w:tc>
      </w:tr>
      <w:tr>
        <w:trPr>
          <w:cantSplit/>
        </w:trPr>
        <w:tc>
          <w:tcPr>
            <w:tcW w:type="dxa" w:w="3600"/>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Written/oral technical communication</w:t>
            </w:r>
          </w:p>
        </w:tc>
        <w:tc>
          <w:tcPr>
            <w:tcW w:type="dxa" w:w="187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SO3</w:t>
            </w:r>
          </w:p>
        </w:tc>
        <w:tc>
          <w:tcPr>
            <w:tcW w:type="dxa" w:w="3888"/>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Whole Report + Capstone Viva</w:t>
            </w:r>
          </w:p>
        </w:tc>
      </w:tr>
      <w:tr>
        <w:trPr>
          <w:cantSplit/>
        </w:trPr>
        <w:tc>
          <w:tcPr>
            <w:tcW w:type="dxa" w:w="3600"/>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Ethics and professional responsibility</w:t>
            </w:r>
          </w:p>
        </w:tc>
        <w:tc>
          <w:tcPr>
            <w:tcW w:type="dxa" w:w="187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SO4</w:t>
            </w:r>
          </w:p>
        </w:tc>
        <w:tc>
          <w:tcPr>
            <w:tcW w:type="dxa" w:w="3888"/>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Chapter 3 (3.7), Appendix F</w:t>
            </w:r>
          </w:p>
        </w:tc>
      </w:tr>
      <w:tr>
        <w:trPr>
          <w:cantSplit/>
        </w:trPr>
        <w:tc>
          <w:tcPr>
            <w:tcW w:type="dxa" w:w="3600"/>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Teamwork and leadership</w:t>
            </w:r>
          </w:p>
        </w:tc>
        <w:tc>
          <w:tcPr>
            <w:tcW w:type="dxa" w:w="187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SO5</w:t>
            </w:r>
          </w:p>
        </w:tc>
        <w:tc>
          <w:tcPr>
            <w:tcW w:type="dxa" w:w="3888"/>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Individual Contribution Statement, Chapter 4 (4.8)</w:t>
            </w:r>
          </w:p>
        </w:tc>
      </w:tr>
      <w:tr>
        <w:trPr>
          <w:cantSplit/>
        </w:trPr>
        <w:tc>
          <w:tcPr>
            <w:tcW w:type="dxa" w:w="3600"/>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Experimentation, analysis, engineering judgment</w:t>
            </w:r>
          </w:p>
        </w:tc>
        <w:tc>
          <w:tcPr>
            <w:tcW w:type="dxa" w:w="187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SO6</w:t>
            </w:r>
          </w:p>
        </w:tc>
        <w:tc>
          <w:tcPr>
            <w:tcW w:type="dxa" w:w="3888"/>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Chapter 4 (4.3–4.6), Appendix E</w:t>
            </w:r>
          </w:p>
        </w:tc>
      </w:tr>
      <w:tr>
        <w:trPr>
          <w:cantSplit/>
        </w:trPr>
        <w:tc>
          <w:tcPr>
            <w:tcW w:type="dxa" w:w="3600"/>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Independent acquisition of new knowledge</w:t>
            </w:r>
          </w:p>
        </w:tc>
        <w:tc>
          <w:tcPr>
            <w:tcW w:type="dxa" w:w="187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SO7</w:t>
            </w:r>
          </w:p>
        </w:tc>
        <w:tc>
          <w:tcPr>
            <w:tcW w:type="dxa" w:w="3888"/>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Chapter 5 (5.3)</w:t>
            </w:r>
          </w:p>
        </w:tc>
      </w:tr>
      <w:tr>
        <w:trPr>
          <w:cantSplit/>
        </w:trPr>
        <w:tc>
          <w:tcPr>
            <w:tcW w:type="dxa" w:w="3600"/>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Engineering standards compliance</w:t>
            </w:r>
          </w:p>
        </w:tc>
        <w:tc>
          <w:tcPr>
            <w:tcW w:type="dxa" w:w="187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SO2</w:t>
            </w:r>
          </w:p>
        </w:tc>
        <w:tc>
          <w:tcPr>
            <w:tcW w:type="dxa" w:w="3888"/>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Chapter 3 (3.2), References</w:t>
            </w:r>
          </w:p>
        </w:tc>
      </w:tr>
      <w:tr>
        <w:trPr>
          <w:cantSplit/>
        </w:trPr>
        <w:tc>
          <w:tcPr>
            <w:tcW w:type="dxa" w:w="3600"/>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Sustainability and societal/environmental impact</w:t>
            </w:r>
          </w:p>
        </w:tc>
        <w:tc>
          <w:tcPr>
            <w:tcW w:type="dxa" w:w="187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SO2 / SO4</w:t>
            </w:r>
          </w:p>
        </w:tc>
        <w:tc>
          <w:tcPr>
            <w:tcW w:type="dxa" w:w="3888"/>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Chapter 3 (3.7)</w:t>
            </w:r>
          </w:p>
        </w:tc>
      </w:tr>
      <w:tr>
        <w:trPr>
          <w:cantSplit/>
        </w:trPr>
        <w:tc>
          <w:tcPr>
            <w:tcW w:type="dxa" w:w="3600"/>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Risk assessment and mitigation</w:t>
            </w:r>
          </w:p>
        </w:tc>
        <w:tc>
          <w:tcPr>
            <w:tcW w:type="dxa" w:w="187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SO2 / SO4</w:t>
            </w:r>
          </w:p>
        </w:tc>
        <w:tc>
          <w:tcPr>
            <w:tcW w:type="dxa" w:w="3888"/>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Chapter 3 (3.7 Table 3.4)</w:t>
            </w:r>
          </w:p>
        </w:tc>
      </w:tr>
      <w:tr>
        <w:trPr>
          <w:cantSplit/>
        </w:trPr>
        <w:tc>
          <w:tcPr>
            <w:tcW w:type="dxa" w:w="3600"/>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Security considerations in cyber-physical systems</w:t>
            </w:r>
          </w:p>
        </w:tc>
        <w:tc>
          <w:tcPr>
            <w:tcW w:type="dxa" w:w="187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Relevant SO</w:t>
            </w:r>
          </w:p>
        </w:tc>
        <w:tc>
          <w:tcPr>
            <w:tcW w:type="dxa" w:w="3888"/>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Chapter 3 (3.7)</w:t>
            </w:r>
          </w:p>
        </w:tc>
      </w:tr>
      <w:tr>
        <w:trPr>
          <w:cantSplit/>
        </w:trPr>
        <w:tc>
          <w:tcPr>
            <w:tcW w:type="dxa" w:w="3600"/>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Integrated / system-level engineering</w:t>
            </w:r>
          </w:p>
        </w:tc>
        <w:tc>
          <w:tcPr>
            <w:tcW w:type="dxa" w:w="187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SO1 / SO2</w:t>
            </w:r>
          </w:p>
        </w:tc>
        <w:tc>
          <w:tcPr>
            <w:tcW w:type="dxa" w:w="3888"/>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Chapter 1 (1.7), Chapter 3 (3.5)</w:t>
            </w:r>
          </w:p>
        </w:tc>
      </w:tr>
      <w:tr>
        <w:trPr>
          <w:cantSplit/>
        </w:trPr>
        <w:tc>
          <w:tcPr>
            <w:tcW w:type="dxa" w:w="3600"/>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Project planning, roles and budget management</w:t>
            </w:r>
          </w:p>
        </w:tc>
        <w:tc>
          <w:tcPr>
            <w:tcW w:type="dxa" w:w="187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SO5</w:t>
            </w:r>
          </w:p>
        </w:tc>
        <w:tc>
          <w:tcPr>
            <w:tcW w:type="dxa" w:w="3888"/>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Chapter 4 (4.8)</w:t>
            </w:r>
          </w:p>
        </w:tc>
      </w:tr>
      <w:tr>
        <w:trPr>
          <w:cantSplit/>
        </w:trPr>
        <w:tc>
          <w:tcPr>
            <w:tcW w:type="dxa" w:w="3600"/>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pPr>
            <w:r>
              <w:rPr>
                <w:rFonts w:ascii="Times New Roman" w:hAnsi="Times New Roman"/>
                <w:color w:val="000000"/>
                <w:sz w:val="24"/>
              </w:rPr>
              <w:t>Individual student contribution verification</w:t>
            </w:r>
          </w:p>
        </w:tc>
        <w:tc>
          <w:tcPr>
            <w:tcW w:type="dxa" w:w="1872"/>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SO1 – SO7</w:t>
            </w:r>
          </w:p>
        </w:tc>
        <w:tc>
          <w:tcPr>
            <w:tcW w:type="dxa" w:w="3888"/>
            <w:tcBorders>
              <w:top w:val="single" w:sz="4" w:space="0" w:color="000000"/>
              <w:left w:val="single" w:sz="4" w:space="0" w:color="000000"/>
              <w:bottom w:val="single" w:sz="4" w:space="0" w:color="000000"/>
              <w:right w:val="single" w:sz="4" w:space="0" w:color="000000"/>
            </w:tcBorders>
            <w:tcMar>
              <w:top w:w="120" w:type="dxa"/>
              <w:bottom w:w="120" w:type="dxa"/>
              <w:left w:w="160" w:type="dxa"/>
              <w:right w:w="160" w:type="dxa"/>
            </w:tcMar>
          </w:tcPr>
          <w:p>
            <w:pPr>
              <w:spacing w:before="40" w:after="40" w:line="252" w:lineRule="auto"/>
              <w:jc w:val="center"/>
            </w:pPr>
            <w:r>
              <w:rPr>
                <w:rFonts w:ascii="Times New Roman" w:hAnsi="Times New Roman"/>
                <w:color w:val="000000"/>
                <w:sz w:val="24"/>
              </w:rPr>
              <w:t>Contribution Statement + Chapter 4 (4.8) + Appendix J</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