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HDFC Growth Fund</w:t>
      </w:r>
    </w:p>
    <w:p>
      <w:pPr>
        <w:pStyle w:val="Heading2"/>
      </w:pPr>
      <w:r>
        <w:t>Benchmark Index</w:t>
      </w:r>
    </w:p>
    <w:p>
      <w:pPr>
        <w:pStyle w:val="ListBullet"/>
      </w:pPr>
      <w:r>
        <w:t>Not available</w:t>
      </w:r>
    </w:p>
    <w:p>
      <w:pPr>
        <w:pStyle w:val="Heading2"/>
      </w:pPr>
      <w:r>
        <w:t>Portfolio Details</w:t>
      </w:r>
    </w:p>
    <w:p>
      <w:pPr>
        <w:pStyle w:val="ListBullet"/>
      </w:pPr>
      <w:r>
        <w:rPr>
          <w:b/>
        </w:rPr>
        <w:t>Fund Manager(s):</w:t>
      </w:r>
      <w:r>
        <w:t xml:space="preserve"> Not available</w:t>
      </w:r>
    </w:p>
    <w:p>
      <w:pPr>
        <w:pStyle w:val="ListBullet"/>
      </w:pPr>
      <w:r>
        <w:rPr>
          <w:b/>
        </w:rPr>
        <w:t>Fund category / type:</w:t>
      </w:r>
      <w:r>
        <w:t xml:space="preserve"> Open-Ended Growth Scheme</w:t>
      </w:r>
    </w:p>
    <w:p>
      <w:pPr>
        <w:pStyle w:val="ListBullet"/>
      </w:pPr>
      <w:r>
        <w:rPr>
          <w:b/>
        </w:rPr>
        <w:t>Investment objective:</w:t>
      </w:r>
      <w:r>
        <w:t xml:space="preserve"> The primary objective of the Scheme is to generate long-term capital appreciation from a portfolio that is invested predominantly in equity and equity related instruments. The approach to investing the assets of the Scheme would emphasise the fundamental strengths intrinsic to a company and its business.</w:t>
      </w:r>
    </w:p>
    <w:p>
      <w:pPr>
        <w:pStyle w:val="ListBullet"/>
      </w:pPr>
      <w:r>
        <w:rPr>
          <w:b/>
        </w:rPr>
        <w:t>Month End AUM:</w:t>
      </w:r>
      <w:r>
        <w:t xml:space="preserve"> Not available</w:t>
      </w:r>
    </w:p>
    <w:p>
      <w:pPr>
        <w:pStyle w:val="ListBullet"/>
      </w:pPr>
      <w:r>
        <w:rPr>
          <w:b/>
        </w:rPr>
        <w:t>Avg. AUM (AAUM):</w:t>
      </w:r>
      <w:r>
        <w:t xml:space="preserve"> Not available</w:t>
      </w:r>
    </w:p>
    <w:p>
      <w:pPr>
        <w:pStyle w:val="ListBullet"/>
      </w:pPr>
      <w:r>
        <w:rPr>
          <w:b/>
        </w:rPr>
        <w:t>NAV:</w:t>
      </w:r>
    </w:p>
    <w:p>
      <w:pPr>
        <w:pStyle w:val="ListBullet"/>
      </w:pPr>
      <w:r>
        <w:t>Sept. 20, 2000: ₹9.937</w:t>
      </w:r>
    </w:p>
    <w:p>
      <w:pPr>
        <w:pStyle w:val="ListBullet"/>
      </w:pPr>
      <w:r>
        <w:t>Nov. 30, 2000: ₹9.747</w:t>
      </w:r>
    </w:p>
    <w:p>
      <w:pPr>
        <w:pStyle w:val="ListBullet"/>
      </w:pPr>
      <w:r>
        <w:t>Dec. 30, 2000: ₹9.392</w:t>
      </w:r>
    </w:p>
    <w:p>
      <w:pPr>
        <w:pStyle w:val="ListBullet"/>
      </w:pPr>
      <w:r>
        <w:rPr>
          <w:b/>
        </w:rPr>
        <w:t>Launch / Inception date:</w:t>
      </w:r>
      <w:r>
        <w:t xml:space="preserve"> September 11, 2000</w:t>
      </w:r>
    </w:p>
    <w:p>
      <w:pPr>
        <w:pStyle w:val="ListBullet"/>
      </w:pPr>
      <w:r>
        <w:rPr>
          <w:b/>
        </w:rPr>
        <w:t>Exit load:</w:t>
      </w:r>
      <w:r>
        <w:t xml:space="preserve"> Nil</w:t>
      </w:r>
    </w:p>
    <w:p>
      <w:pPr>
        <w:pStyle w:val="ListBullet"/>
      </w:pPr>
      <w:r>
        <w:rPr>
          <w:b/>
        </w:rPr>
        <w:t>Expense ratio:</w:t>
      </w:r>
      <w:r>
        <w:t xml:space="preserve"> Not available</w:t>
      </w:r>
    </w:p>
    <w:p>
      <w:pPr>
        <w:pStyle w:val="ListBullet"/>
      </w:pPr>
      <w:r>
        <w:rPr>
          <w:b/>
        </w:rPr>
        <w:t>Minimum investment / SIP amount:</w:t>
      </w:r>
      <w:r>
        <w:t xml:space="preserve"> Rs. 3000 (Rs. 1000 for existing investors) &amp; in multiples of Rs. 1000 thereafter</w:t>
      </w:r>
    </w:p>
    <w:p>
      <w:pPr>
        <w:pStyle w:val="ListBullet"/>
      </w:pPr>
      <w:r>
        <w:rPr>
          <w:b/>
        </w:rPr>
        <w:t>Lock-in period:</w:t>
      </w:r>
      <w:r>
        <w:t xml:space="preserve"> Not available</w:t>
      </w:r>
    </w:p>
    <w:p>
      <w:pPr>
        <w:pStyle w:val="Heading2"/>
      </w:pPr>
      <w:r>
        <w:t>Quantitative Indicators</w:t>
      </w:r>
    </w:p>
    <w:p>
      <w:pPr>
        <w:pStyle w:val="ListBullet"/>
      </w:pPr>
      <w:r>
        <w:t>Not available</w:t>
      </w:r>
    </w:p>
    <w:p>
      <w:pPr>
        <w:pStyle w:val="Heading2"/>
      </w:pPr>
      <w:r>
        <w:t>Returns</w:t>
      </w:r>
    </w:p>
    <w:p>
      <w:pPr>
        <w:pStyle w:val="ListBullet"/>
      </w:pPr>
      <w:r>
        <w:t>Not available</w:t>
      </w:r>
    </w:p>
    <w:p>
      <w:pPr>
        <w:pStyle w:val="Heading2"/>
      </w:pPr>
      <w:r>
        <w:t>Top 5 Stock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Stock Name</w:t>
            </w:r>
          </w:p>
        </w:tc>
        <w:tc>
          <w:tcPr>
            <w:tcW w:type="dxa" w:w="2880"/>
          </w:tcPr>
          <w:p>
            <w:r/>
            <w:r>
              <w:t>Sector</w:t>
            </w:r>
          </w:p>
        </w:tc>
        <w:tc>
          <w:tcPr>
            <w:tcW w:type="dxa" w:w="2880"/>
          </w:tcPr>
          <w:p>
            <w:r/>
            <w:r>
              <w:t>% of Portfolio</w:t>
            </w:r>
          </w:p>
        </w:tc>
      </w:tr>
      <w:tr>
        <w:tc>
          <w:tcPr>
            <w:tcW w:type="dxa" w:w="2880"/>
          </w:tcPr>
          <w:p>
            <w:r/>
            <w:r>
              <w:t>Infosys Technologies Ltd.</w:t>
            </w:r>
          </w:p>
        </w:tc>
        <w:tc>
          <w:tcPr>
            <w:tcW w:type="dxa" w:w="2880"/>
          </w:tcPr>
          <w:p>
            <w:r/>
            <w:r>
              <w:t>Information Technology</w:t>
            </w:r>
          </w:p>
        </w:tc>
        <w:tc>
          <w:tcPr>
            <w:tcW w:type="dxa" w:w="2880"/>
          </w:tcPr>
          <w:p>
            <w:r/>
            <w:r>
              <w:t>7.18</w:t>
            </w:r>
          </w:p>
        </w:tc>
      </w:tr>
      <w:tr>
        <w:tc>
          <w:tcPr>
            <w:tcW w:type="dxa" w:w="2880"/>
          </w:tcPr>
          <w:p>
            <w:r/>
            <w:r>
              <w:t>Hindalco Industries Ltd.</w:t>
            </w:r>
          </w:p>
        </w:tc>
        <w:tc>
          <w:tcPr>
            <w:tcW w:type="dxa" w:w="2880"/>
          </w:tcPr>
          <w:p>
            <w:r/>
            <w:r>
              <w:t>Metals</w:t>
            </w:r>
          </w:p>
        </w:tc>
        <w:tc>
          <w:tcPr>
            <w:tcW w:type="dxa" w:w="2880"/>
          </w:tcPr>
          <w:p>
            <w:r/>
            <w:r>
              <w:t>7.12</w:t>
            </w:r>
          </w:p>
        </w:tc>
      </w:tr>
      <w:tr>
        <w:tc>
          <w:tcPr>
            <w:tcW w:type="dxa" w:w="2880"/>
          </w:tcPr>
          <w:p>
            <w:r/>
            <w:r>
              <w:t>ITC Ltd.</w:t>
            </w:r>
          </w:p>
        </w:tc>
        <w:tc>
          <w:tcPr>
            <w:tcW w:type="dxa" w:w="2880"/>
          </w:tcPr>
          <w:p>
            <w:r/>
            <w:r>
              <w:t>Fast Moving Consumer Goods</w:t>
            </w:r>
          </w:p>
        </w:tc>
        <w:tc>
          <w:tcPr>
            <w:tcW w:type="dxa" w:w="2880"/>
          </w:tcPr>
          <w:p>
            <w:r/>
            <w:r>
              <w:t>6.64</w:t>
            </w:r>
          </w:p>
        </w:tc>
      </w:tr>
      <w:tr>
        <w:tc>
          <w:tcPr>
            <w:tcW w:type="dxa" w:w="2880"/>
          </w:tcPr>
          <w:p>
            <w:r/>
            <w:r>
              <w:t>NIIT Ltd.</w:t>
            </w:r>
          </w:p>
        </w:tc>
        <w:tc>
          <w:tcPr>
            <w:tcW w:type="dxa" w:w="2880"/>
          </w:tcPr>
          <w:p>
            <w:r/>
            <w:r>
              <w:t>Information Technology</w:t>
            </w:r>
          </w:p>
        </w:tc>
        <w:tc>
          <w:tcPr>
            <w:tcW w:type="dxa" w:w="2880"/>
          </w:tcPr>
          <w:p>
            <w:r/>
            <w:r>
              <w:t>5.90</w:t>
            </w:r>
          </w:p>
        </w:tc>
      </w:tr>
      <w:tr>
        <w:tc>
          <w:tcPr>
            <w:tcW w:type="dxa" w:w="2880"/>
          </w:tcPr>
          <w:p>
            <w:r/>
            <w:r>
              <w:t>Britannia Industries Ltd.</w:t>
            </w:r>
          </w:p>
        </w:tc>
        <w:tc>
          <w:tcPr>
            <w:tcW w:type="dxa" w:w="2880"/>
          </w:tcPr>
          <w:p>
            <w:r/>
            <w:r>
              <w:t>Fast Moving Consumer Goods</w:t>
            </w:r>
          </w:p>
        </w:tc>
        <w:tc>
          <w:tcPr>
            <w:tcW w:type="dxa" w:w="2880"/>
          </w:tcPr>
          <w:p>
            <w:r/>
            <w:r>
              <w:t>5.21</w:t>
            </w:r>
          </w:p>
        </w:tc>
      </w:tr>
    </w:tbl>
    <w:p/>
    <w:p>
      <w:pPr>
        <w:pStyle w:val="Heading2"/>
      </w:pPr>
      <w:r>
        <w:t>Top 5 Sector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Sector</w:t>
            </w:r>
          </w:p>
        </w:tc>
        <w:tc>
          <w:tcPr>
            <w:tcW w:type="dxa" w:w="4320"/>
          </w:tcPr>
          <w:p>
            <w:r/>
            <w:r>
              <w:t>% of Portfolio</w:t>
            </w:r>
          </w:p>
        </w:tc>
      </w:tr>
      <w:tr>
        <w:tc>
          <w:tcPr>
            <w:tcW w:type="dxa" w:w="4320"/>
          </w:tcPr>
          <w:p>
            <w:r/>
            <w:r>
              <w:t>Information Technology</w:t>
            </w:r>
          </w:p>
        </w:tc>
        <w:tc>
          <w:tcPr>
            <w:tcW w:type="dxa" w:w="4320"/>
          </w:tcPr>
          <w:p>
            <w:r/>
            <w:r>
              <w:t>18.54</w:t>
            </w:r>
          </w:p>
        </w:tc>
      </w:tr>
      <w:tr>
        <w:tc>
          <w:tcPr>
            <w:tcW w:type="dxa" w:w="4320"/>
          </w:tcPr>
          <w:p>
            <w:r/>
            <w:r>
              <w:t>Fast Moving Consumer Goods</w:t>
            </w:r>
          </w:p>
        </w:tc>
        <w:tc>
          <w:tcPr>
            <w:tcW w:type="dxa" w:w="4320"/>
          </w:tcPr>
          <w:p>
            <w:r/>
            <w:r>
              <w:t>18.69</w:t>
            </w:r>
          </w:p>
        </w:tc>
      </w:tr>
      <w:tr>
        <w:tc>
          <w:tcPr>
            <w:tcW w:type="dxa" w:w="4320"/>
          </w:tcPr>
          <w:p>
            <w:r/>
            <w:r>
              <w:t>Metals</w:t>
            </w:r>
          </w:p>
        </w:tc>
        <w:tc>
          <w:tcPr>
            <w:tcW w:type="dxa" w:w="4320"/>
          </w:tcPr>
          <w:p>
            <w:r/>
            <w:r>
              <w:t>11.09</w:t>
            </w:r>
          </w:p>
        </w:tc>
      </w:tr>
      <w:tr>
        <w:tc>
          <w:tcPr>
            <w:tcW w:type="dxa" w:w="4320"/>
          </w:tcPr>
          <w:p>
            <w:r/>
            <w:r>
              <w:t>Pharmaceuticals</w:t>
            </w:r>
          </w:p>
        </w:tc>
        <w:tc>
          <w:tcPr>
            <w:tcW w:type="dxa" w:w="4320"/>
          </w:tcPr>
          <w:p>
            <w:r/>
            <w:r>
              <w:t>8.17</w:t>
            </w:r>
          </w:p>
        </w:tc>
      </w:tr>
      <w:tr>
        <w:tc>
          <w:tcPr>
            <w:tcW w:type="dxa" w:w="4320"/>
          </w:tcPr>
          <w:p>
            <w:r/>
            <w:r>
              <w:t>Media</w:t>
            </w:r>
          </w:p>
        </w:tc>
        <w:tc>
          <w:tcPr>
            <w:tcW w:type="dxa" w:w="4320"/>
          </w:tcPr>
          <w:p>
            <w:r/>
            <w:r>
              <w:t>6.18</w:t>
            </w:r>
          </w:p>
        </w:tc>
      </w:tr>
    </w:tbl>
    <w:p/>
    <w:p>
      <w:pPr>
        <w:pStyle w:val="Heading2"/>
      </w:pPr>
      <w:r>
        <w:t>Group Exposure</w:t>
      </w:r>
    </w:p>
    <w:p>
      <w:pPr>
        <w:pStyle w:val="ListBullet"/>
      </w:pPr>
      <w:r>
        <w:t>Not available</w:t>
      </w:r>
    </w:p>
    <w:p>
      <w:pPr>
        <w:pStyle w:val="Heading2"/>
      </w:pPr>
      <w:r>
        <w:t>Rating Profile</w:t>
      </w:r>
    </w:p>
    <w:p>
      <w:pPr>
        <w:pStyle w:val="ListBullet"/>
      </w:pPr>
      <w:r>
        <w:t>Not applicable – equity fund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