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SBI Flexicap Fund</w:t>
      </w:r>
    </w:p>
    <w:p>
      <w:pPr>
        <w:pStyle w:val="Heading2"/>
      </w:pPr>
      <w:r>
        <w:t>Benchmark Index</w:t>
      </w:r>
    </w:p>
    <w:p>
      <w:pPr>
        <w:pStyle w:val="ListBullet"/>
      </w:pPr>
      <w:r>
        <w:rPr>
          <w:b/>
        </w:rPr>
        <w:t>First Tier Benchmark:</w:t>
      </w:r>
      <w:r>
        <w:t xml:space="preserve"> BSE 500 (TRI)</w:t>
      </w:r>
    </w:p>
    <w:p>
      <w:pPr>
        <w:pStyle w:val="ListBullet"/>
      </w:pPr>
      <w:r>
        <w:rPr>
          <w:b/>
        </w:rPr>
        <w:t>Additional Benchmark:</w:t>
      </w:r>
      <w:r>
        <w:t xml:space="preserve"> BSE Sensex (TRI)</w:t>
      </w:r>
    </w:p>
    <w:p>
      <w:pPr>
        <w:pStyle w:val="Heading2"/>
      </w:pPr>
      <w:r>
        <w:t>Portfolio Details</w:t>
      </w:r>
    </w:p>
    <w:p>
      <w:pPr>
        <w:pStyle w:val="ListBullet"/>
      </w:pPr>
      <w:r>
        <w:rPr>
          <w:b/>
        </w:rPr>
        <w:t>Fund Manager(s):</w:t>
      </w:r>
      <w:r>
        <w:t xml:space="preserve"> Mr. Dinesh Balachandran, Mr. Anup Upadhyay (Co fund Manager)</w:t>
      </w:r>
    </w:p>
    <w:p>
      <w:pPr>
        <w:pStyle w:val="ListBullet"/>
      </w:pPr>
      <w:r>
        <w:rPr>
          <w:b/>
        </w:rPr>
        <w:t>Managing Since:</w:t>
      </w:r>
      <w:r>
        <w:t xml:space="preserve"> Mr. Dinesh Balachandran (w.e.f. Dec 2024), Mr. Anup Upadhyay (w.e.f. Dec 2024)</w:t>
      </w:r>
    </w:p>
    <w:p>
      <w:pPr>
        <w:pStyle w:val="ListBullet"/>
      </w:pPr>
      <w:r>
        <w:rPr>
          <w:b/>
        </w:rPr>
        <w:t>Fund Category / Type:</w:t>
      </w:r>
      <w:r>
        <w:t xml:space="preserve"> An open-ended Dynamic Equity Scheme investing across large cap, mid cap, small cap stocks.</w:t>
      </w:r>
    </w:p>
    <w:p>
      <w:pPr>
        <w:pStyle w:val="ListBullet"/>
      </w:pPr>
      <w:r>
        <w:rPr>
          <w:b/>
        </w:rPr>
        <w:t>Investment Objective:</w:t>
      </w:r>
      <w:r>
        <w:t xml:space="preserve"> To provide investors with opportunities for long-term growth in capital along with the liquidity of an open-ended scheme through an active management of investments in a diversified basket of equity stocks spanning the entire market capitalization spectrum and in debt and money market instruments. However, there is no guarantee or assurance that the investment objective of the scheme will be achieved.</w:t>
      </w:r>
    </w:p>
    <w:p>
      <w:pPr>
        <w:pStyle w:val="ListBullet"/>
      </w:pPr>
      <w:r>
        <w:rPr>
          <w:b/>
        </w:rPr>
        <w:t>Month End AUM:</w:t>
      </w:r>
      <w:r>
        <w:t xml:space="preserve"> ₹23,686.45 Crores (as on December 31, 2025)</w:t>
      </w:r>
    </w:p>
    <w:p>
      <w:pPr>
        <w:pStyle w:val="ListBullet"/>
      </w:pPr>
      <w:r>
        <w:rPr>
          <w:b/>
        </w:rPr>
        <w:t>AAUM for the Month of December 2025:</w:t>
      </w:r>
      <w:r>
        <w:t xml:space="preserve"> ₹23,516.21 Crores</w:t>
      </w:r>
    </w:p>
    <w:p>
      <w:pPr>
        <w:pStyle w:val="ListBullet"/>
      </w:pPr>
      <w:r>
        <w:rPr>
          <w:b/>
        </w:rPr>
        <w:t>NAV:</w:t>
      </w:r>
    </w:p>
    <w:p>
      <w:pPr>
        <w:pStyle w:val="ListBullet"/>
      </w:pPr>
      <w:r>
        <w:t>Reg-Plan-IDCW: 50.6204</w:t>
      </w:r>
    </w:p>
    <w:p>
      <w:pPr>
        <w:pStyle w:val="ListBullet"/>
      </w:pPr>
      <w:r>
        <w:t>Reg-Plan-Growth: 113.0485</w:t>
      </w:r>
    </w:p>
    <w:p>
      <w:pPr>
        <w:pStyle w:val="ListBullet"/>
      </w:pPr>
      <w:r>
        <w:t>Dir-Plan-IDCW: 63.3463</w:t>
      </w:r>
    </w:p>
    <w:p>
      <w:pPr>
        <w:pStyle w:val="ListBullet"/>
      </w:pPr>
      <w:r>
        <w:t>Dir-Plan-Growth: 126.7358</w:t>
      </w:r>
    </w:p>
    <w:p>
      <w:pPr>
        <w:pStyle w:val="ListBullet"/>
      </w:pPr>
      <w:r>
        <w:rPr>
          <w:b/>
        </w:rPr>
        <w:t>Launch / Inception Date:</w:t>
      </w:r>
      <w:r>
        <w:t xml:space="preserve"> 29/09/2005</w:t>
      </w:r>
    </w:p>
    <w:p>
      <w:pPr>
        <w:pStyle w:val="ListBullet"/>
      </w:pPr>
      <w:r>
        <w:rPr>
          <w:b/>
        </w:rPr>
        <w:t>Exit Load:</w:t>
      </w:r>
      <w:r>
        <w:t xml:space="preserve"> For exit on or before 30 days from the date of allotment - 0.10% For exit after 30 days from the date of allotment- Nil</w:t>
      </w:r>
    </w:p>
    <w:p>
      <w:pPr>
        <w:pStyle w:val="ListBullet"/>
      </w:pPr>
      <w:r>
        <w:rPr>
          <w:b/>
        </w:rPr>
        <w:t>Expense Ratio:</w:t>
      </w:r>
      <w:r>
        <w:t xml:space="preserve"> Not available</w:t>
      </w:r>
    </w:p>
    <w:p>
      <w:pPr>
        <w:pStyle w:val="ListBullet"/>
      </w:pPr>
      <w:r>
        <w:rPr>
          <w:b/>
        </w:rPr>
        <w:t>Minimum Investment:</w:t>
      </w:r>
      <w:r>
        <w:t xml:space="preserve"> ₹1000 &amp; in multiples of ₹1</w:t>
      </w:r>
    </w:p>
    <w:p>
      <w:pPr>
        <w:pStyle w:val="ListBullet"/>
      </w:pPr>
      <w:r>
        <w:rPr>
          <w:b/>
        </w:rPr>
        <w:t>SIP:</w:t>
      </w:r>
    </w:p>
    <w:p>
      <w:pPr>
        <w:pStyle w:val="ListBullet"/>
      </w:pPr>
      <w:r>
        <w:t>Daily: Minimum ₹500 &amp; in multiples of ₹1 thereafter for a minimum of 12 instalments.</w:t>
      </w:r>
    </w:p>
    <w:p>
      <w:pPr>
        <w:pStyle w:val="ListBullet"/>
      </w:pPr>
      <w:r>
        <w:t>Weekly: Minimum ₹1000 &amp; in multiples of ₹1 thereafter for a minimum of 6 instalments (or) Minimum ₹500 &amp; in multiples of ₹1 thereafter for a minimum of 12 instalments.</w:t>
      </w:r>
    </w:p>
    <w:p>
      <w:pPr>
        <w:pStyle w:val="ListBullet"/>
      </w:pPr>
      <w:r>
        <w:t>Monthly: Minimum ₹1000 &amp; in multiples of ₹1 thereafter for minimum six months (or) minimum ₹500 &amp; in multiples of ₹1 thereafter for minimum one year.</w:t>
      </w:r>
    </w:p>
    <w:p>
      <w:pPr>
        <w:pStyle w:val="ListBullet"/>
      </w:pPr>
      <w:r>
        <w:t>Quarterly: Minimum ₹1500 &amp; in multiples of ₹1 thereafter for minimum one year.</w:t>
      </w:r>
    </w:p>
    <w:p>
      <w:pPr>
        <w:pStyle w:val="ListBullet"/>
      </w:pPr>
      <w:r>
        <w:t>Semi Annual: Minimum ₹3000 &amp; in multiples of ₹1 thereafter for a minimum of 4 installments.</w:t>
      </w:r>
    </w:p>
    <w:p>
      <w:pPr>
        <w:pStyle w:val="ListBullet"/>
      </w:pPr>
      <w:r>
        <w:t>Annual: Minimum ₹5000 &amp; in multiples of ₹1 thereafter for a minimum of 4 installments.</w:t>
      </w:r>
    </w:p>
    <w:p>
      <w:pPr>
        <w:pStyle w:val="ListBullet"/>
      </w:pPr>
      <w:r>
        <w:rPr>
          <w:b/>
        </w:rPr>
        <w:t>Lock-in Period:</w:t>
      </w:r>
      <w:r>
        <w:t xml:space="preserve"> Not available</w:t>
      </w:r>
    </w:p>
    <w:p>
      <w:pPr>
        <w:pStyle w:val="Heading2"/>
      </w:pPr>
      <w:r>
        <w:t>Quantitative Indicators</w:t>
      </w:r>
    </w:p>
    <w:p>
      <w:pPr>
        <w:pStyle w:val="ListBullet"/>
      </w:pPr>
      <w:r>
        <w:rPr>
          <w:b/>
        </w:rPr>
        <w:t>Standard Deviation:</w:t>
      </w:r>
      <w:r>
        <w:t xml:space="preserve"> 11.00%</w:t>
      </w:r>
    </w:p>
    <w:p>
      <w:pPr>
        <w:pStyle w:val="ListBullet"/>
      </w:pPr>
      <w:r>
        <w:rPr>
          <w:b/>
        </w:rPr>
        <w:t>Beta:</w:t>
      </w:r>
      <w:r>
        <w:t xml:space="preserve"> 0.83</w:t>
      </w:r>
    </w:p>
    <w:p>
      <w:pPr>
        <w:pStyle w:val="ListBullet"/>
      </w:pPr>
      <w:r>
        <w:rPr>
          <w:b/>
        </w:rPr>
        <w:t>Sharpe Ratio:</w:t>
      </w:r>
      <w:r>
        <w:t xml:space="preserve"> 0.73</w:t>
      </w:r>
    </w:p>
    <w:p>
      <w:pPr>
        <w:pStyle w:val="ListBullet"/>
      </w:pPr>
      <w:r>
        <w:rPr>
          <w:b/>
        </w:rPr>
        <w:t>Portfolio Turnover:</w:t>
      </w:r>
    </w:p>
    <w:p>
      <w:pPr>
        <w:pStyle w:val="ListBullet"/>
      </w:pPr>
      <w:r>
        <w:t>Equity Turnover: 0.62</w:t>
      </w:r>
    </w:p>
    <w:p>
      <w:pPr>
        <w:pStyle w:val="ListBullet"/>
      </w:pPr>
      <w:r>
        <w:t>Total Turnover: 0.83</w:t>
      </w:r>
    </w:p>
    <w:p>
      <w:pPr>
        <w:pStyle w:val="Heading2"/>
      </w:pPr>
      <w:r>
        <w:t>Returns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t>Time Period</w:t>
            </w:r>
          </w:p>
        </w:tc>
        <w:tc>
          <w:tcPr>
            <w:tcW w:type="dxa" w:w="2160"/>
          </w:tcPr>
          <w:p>
            <w:r/>
            <w:r>
              <w:t>Fund (CAGR %)</w:t>
            </w:r>
          </w:p>
        </w:tc>
        <w:tc>
          <w:tcPr>
            <w:tcW w:type="dxa" w:w="2160"/>
          </w:tcPr>
          <w:p>
            <w:r/>
            <w:r>
              <w:t>First Tier Benchmark (CAGR %)</w:t>
            </w:r>
          </w:p>
        </w:tc>
        <w:tc>
          <w:tcPr>
            <w:tcW w:type="dxa" w:w="2160"/>
          </w:tcPr>
          <w:p>
            <w:r/>
            <w:r>
              <w:t>Additional Benchmark (CAGR %)</w:t>
            </w:r>
          </w:p>
        </w:tc>
      </w:tr>
      <w:tr>
        <w:tc>
          <w:tcPr>
            <w:tcW w:type="dxa" w:w="2160"/>
          </w:tcPr>
          <w:p>
            <w:r/>
            <w:r>
              <w:t>1 Year</w:t>
            </w:r>
          </w:p>
        </w:tc>
        <w:tc>
          <w:tcPr>
            <w:tcW w:type="dxa" w:w="2160"/>
          </w:tcPr>
          <w:p>
            <w:r/>
            <w:r>
              <w:t>5.49</w:t>
            </w:r>
          </w:p>
        </w:tc>
        <w:tc>
          <w:tcPr>
            <w:tcW w:type="dxa" w:w="2160"/>
          </w:tcPr>
          <w:p>
            <w:r/>
            <w:r>
              <w:t>7.63</w:t>
            </w:r>
          </w:p>
        </w:tc>
        <w:tc>
          <w:tcPr>
            <w:tcW w:type="dxa" w:w="2160"/>
          </w:tcPr>
          <w:p>
            <w:r/>
            <w:r>
              <w:t>10.38</w:t>
            </w:r>
          </w:p>
        </w:tc>
      </w:tr>
      <w:tr>
        <w:tc>
          <w:tcPr>
            <w:tcW w:type="dxa" w:w="2160"/>
          </w:tcPr>
          <w:p>
            <w:r/>
            <w:r>
              <w:t>3 Years</w:t>
            </w:r>
          </w:p>
        </w:tc>
        <w:tc>
          <w:tcPr>
            <w:tcW w:type="dxa" w:w="2160"/>
          </w:tcPr>
          <w:p>
            <w:r/>
            <w:r>
              <w:t>10.54</w:t>
            </w:r>
          </w:p>
        </w:tc>
        <w:tc>
          <w:tcPr>
            <w:tcW w:type="dxa" w:w="2160"/>
          </w:tcPr>
          <w:p>
            <w:r/>
            <w:r>
              <w:t>16.37</w:t>
            </w:r>
          </w:p>
        </w:tc>
        <w:tc>
          <w:tcPr>
            <w:tcW w:type="dxa" w:w="2160"/>
          </w:tcPr>
          <w:p>
            <w:r/>
            <w:r>
              <w:t>13.27</w:t>
            </w:r>
          </w:p>
        </w:tc>
      </w:tr>
      <w:tr>
        <w:tc>
          <w:tcPr>
            <w:tcW w:type="dxa" w:w="2160"/>
          </w:tcPr>
          <w:p>
            <w:r/>
            <w:r>
              <w:t>5 Years</w:t>
            </w:r>
          </w:p>
        </w:tc>
        <w:tc>
          <w:tcPr>
            <w:tcW w:type="dxa" w:w="2160"/>
          </w:tcPr>
          <w:p>
            <w:r/>
            <w:r>
              <w:t>14.89</w:t>
            </w:r>
          </w:p>
        </w:tc>
        <w:tc>
          <w:tcPr>
            <w:tcW w:type="dxa" w:w="2160"/>
          </w:tcPr>
          <w:p>
            <w:r/>
            <w:r>
              <w:t>15.74</w:t>
            </w:r>
          </w:p>
        </w:tc>
        <w:tc>
          <w:tcPr>
            <w:tcW w:type="dxa" w:w="2160"/>
          </w:tcPr>
          <w:p>
            <w:r/>
            <w:r>
              <w:t>14.54</w:t>
            </w:r>
          </w:p>
        </w:tc>
      </w:tr>
      <w:tr>
        <w:tc>
          <w:tcPr>
            <w:tcW w:type="dxa" w:w="2160"/>
          </w:tcPr>
          <w:p>
            <w:r/>
            <w:r>
              <w:t>Since Inception</w:t>
            </w:r>
          </w:p>
        </w:tc>
        <w:tc>
          <w:tcPr>
            <w:tcW w:type="dxa" w:w="2160"/>
          </w:tcPr>
          <w:p>
            <w:r/>
            <w:r>
              <w:t>13.61</w:t>
            </w:r>
          </w:p>
        </w:tc>
        <w:tc>
          <w:tcPr>
            <w:tcW w:type="dxa" w:w="2160"/>
          </w:tcPr>
          <w:p>
            <w:r/>
            <w:r>
              <w:t>15.77</w:t>
            </w:r>
          </w:p>
        </w:tc>
        <w:tc>
          <w:tcPr>
            <w:tcW w:type="dxa" w:w="2160"/>
          </w:tcPr>
          <w:p>
            <w:r/>
            <w:r>
              <w:t>13.64</w:t>
            </w:r>
          </w:p>
        </w:tc>
      </w:tr>
    </w:tbl>
    <w:p/>
    <w:p>
      <w:pPr>
        <w:pStyle w:val="Heading2"/>
      </w:pPr>
      <w:r>
        <w:t>Top 5 Stock Holdings</w:t>
      </w:r>
    </w:p>
    <w:tbl>
      <w:tblPr>
        <w:tblStyle w:val="TableGrid"/>
        <w:tblW w:type="auto" w:w="0"/>
        <w:tblLook w:firstColumn="1" w:firstRow="1" w:lastColumn="0" w:lastRow="0" w:noHBand="0" w:noVBand="1" w:val="04A0"/>
      </w:tblPr>
      <w:tblGrid>
        <w:gridCol w:w="2880"/>
        <w:gridCol w:w="2880"/>
        <w:gridCol w:w="2880"/>
      </w:tblGrid>
      <w:tr>
        <w:tc>
          <w:tcPr>
            <w:tcW w:type="dxa" w:w="2880"/>
          </w:tcPr>
          <w:p>
            <w:r/>
            <w:r>
              <w:t>Stock Name</w:t>
            </w:r>
          </w:p>
        </w:tc>
        <w:tc>
          <w:tcPr>
            <w:tcW w:type="dxa" w:w="2880"/>
          </w:tcPr>
          <w:p>
            <w:r/>
            <w:r>
              <w:t>Sector</w:t>
            </w:r>
          </w:p>
        </w:tc>
        <w:tc>
          <w:tcPr>
            <w:tcW w:type="dxa" w:w="2880"/>
          </w:tcPr>
          <w:p>
            <w:r/>
            <w:r>
              <w:t>% of Portfolio</w:t>
            </w:r>
          </w:p>
        </w:tc>
      </w:tr>
      <w:tr>
        <w:tc>
          <w:tcPr>
            <w:tcW w:type="dxa" w:w="2880"/>
          </w:tcPr>
          <w:p>
            <w:r/>
            <w:r>
              <w:t>HDFC Bank Ltd</w:t>
            </w:r>
          </w:p>
        </w:tc>
        <w:tc>
          <w:tcPr>
            <w:tcW w:type="dxa" w:w="2880"/>
          </w:tcPr>
          <w:p>
            <w:r/>
            <w:r>
              <w:t>Not available</w:t>
            </w:r>
          </w:p>
        </w:tc>
        <w:tc>
          <w:tcPr>
            <w:tcW w:type="dxa" w:w="2880"/>
          </w:tcPr>
          <w:p>
            <w:r/>
            <w:r>
              <w:t>7.86</w:t>
            </w:r>
          </w:p>
        </w:tc>
      </w:tr>
      <w:tr>
        <w:tc>
          <w:tcPr>
            <w:tcW w:type="dxa" w:w="2880"/>
          </w:tcPr>
          <w:p>
            <w:r/>
            <w:r>
              <w:t>Infosys Ltd</w:t>
            </w:r>
          </w:p>
        </w:tc>
        <w:tc>
          <w:tcPr>
            <w:tcW w:type="dxa" w:w="2880"/>
          </w:tcPr>
          <w:p>
            <w:r/>
            <w:r>
              <w:t>Not available</w:t>
            </w:r>
          </w:p>
        </w:tc>
        <w:tc>
          <w:tcPr>
            <w:tcW w:type="dxa" w:w="2880"/>
          </w:tcPr>
          <w:p>
            <w:r/>
            <w:r>
              <w:t>6.13</w:t>
            </w:r>
          </w:p>
        </w:tc>
      </w:tr>
      <w:tr>
        <w:tc>
          <w:tcPr>
            <w:tcW w:type="dxa" w:w="2880"/>
          </w:tcPr>
          <w:p>
            <w:r/>
            <w:r>
              <w:t>ICICI Bank Ltd</w:t>
            </w:r>
          </w:p>
        </w:tc>
        <w:tc>
          <w:tcPr>
            <w:tcW w:type="dxa" w:w="2880"/>
          </w:tcPr>
          <w:p>
            <w:r/>
            <w:r>
              <w:t>Not available</w:t>
            </w:r>
          </w:p>
        </w:tc>
        <w:tc>
          <w:tcPr>
            <w:tcW w:type="dxa" w:w="2880"/>
          </w:tcPr>
          <w:p>
            <w:r/>
            <w:r>
              <w:t>5.64</w:t>
            </w:r>
          </w:p>
        </w:tc>
      </w:tr>
      <w:tr>
        <w:tc>
          <w:tcPr>
            <w:tcW w:type="dxa" w:w="2880"/>
          </w:tcPr>
          <w:p>
            <w:r/>
            <w:r>
              <w:t>Larsen &amp; Toubro Ltd</w:t>
            </w:r>
          </w:p>
        </w:tc>
        <w:tc>
          <w:tcPr>
            <w:tcW w:type="dxa" w:w="2880"/>
          </w:tcPr>
          <w:p>
            <w:r/>
            <w:r>
              <w:t>Not available</w:t>
            </w:r>
          </w:p>
        </w:tc>
        <w:tc>
          <w:tcPr>
            <w:tcW w:type="dxa" w:w="2880"/>
          </w:tcPr>
          <w:p>
            <w:r/>
            <w:r>
              <w:t>4.48</w:t>
            </w:r>
          </w:p>
        </w:tc>
      </w:tr>
      <w:tr>
        <w:tc>
          <w:tcPr>
            <w:tcW w:type="dxa" w:w="2880"/>
          </w:tcPr>
          <w:p>
            <w:r/>
            <w:r>
              <w:t>Reliance Industries Ltd</w:t>
            </w:r>
          </w:p>
        </w:tc>
        <w:tc>
          <w:tcPr>
            <w:tcW w:type="dxa" w:w="2880"/>
          </w:tcPr>
          <w:p>
            <w:r/>
            <w:r>
              <w:t>Not available</w:t>
            </w:r>
          </w:p>
        </w:tc>
        <w:tc>
          <w:tcPr>
            <w:tcW w:type="dxa" w:w="2880"/>
          </w:tcPr>
          <w:p>
            <w:r/>
            <w:r>
              <w:t>4.28</w:t>
            </w:r>
          </w:p>
        </w:tc>
      </w:tr>
    </w:tbl>
    <w:p/>
    <w:p>
      <w:pPr>
        <w:pStyle w:val="Heading2"/>
      </w:pPr>
      <w:r>
        <w:t>Top 5 Sector Holdings</w:t>
      </w:r>
    </w:p>
    <w:tbl>
      <w:tblPr>
        <w:tblStyle w:val="TableGrid"/>
        <w:tblW w:type="auto" w:w="0"/>
        <w:tblLook w:firstColumn="1" w:firstRow="1" w:lastColumn="0" w:lastRow="0" w:noHBand="0" w:noVBand="1" w:val="04A0"/>
      </w:tblPr>
      <w:tblGrid>
        <w:gridCol w:w="4320"/>
        <w:gridCol w:w="4320"/>
      </w:tblGrid>
      <w:tr>
        <w:tc>
          <w:tcPr>
            <w:tcW w:type="dxa" w:w="4320"/>
          </w:tcPr>
          <w:p>
            <w:r/>
            <w:r>
              <w:t>Sector</w:t>
            </w:r>
          </w:p>
        </w:tc>
        <w:tc>
          <w:tcPr>
            <w:tcW w:type="dxa" w:w="4320"/>
          </w:tcPr>
          <w:p>
            <w:r/>
            <w:r>
              <w:t>% of Portfolio</w:t>
            </w:r>
          </w:p>
        </w:tc>
      </w:tr>
      <w:tr>
        <w:tc>
          <w:tcPr>
            <w:tcW w:type="dxa" w:w="4320"/>
          </w:tcPr>
          <w:p>
            <w:r/>
            <w:r>
              <w:t>Financial Services</w:t>
            </w:r>
          </w:p>
        </w:tc>
        <w:tc>
          <w:tcPr>
            <w:tcW w:type="dxa" w:w="4320"/>
          </w:tcPr>
          <w:p>
            <w:r/>
            <w:r>
              <w:t>36.33</w:t>
            </w:r>
          </w:p>
        </w:tc>
      </w:tr>
      <w:tr>
        <w:tc>
          <w:tcPr>
            <w:tcW w:type="dxa" w:w="4320"/>
          </w:tcPr>
          <w:p>
            <w:r/>
            <w:r>
              <w:t>Automobile And Auto Components</w:t>
            </w:r>
          </w:p>
        </w:tc>
        <w:tc>
          <w:tcPr>
            <w:tcW w:type="dxa" w:w="4320"/>
          </w:tcPr>
          <w:p>
            <w:r/>
            <w:r>
              <w:t>9.48</w:t>
            </w:r>
          </w:p>
        </w:tc>
      </w:tr>
      <w:tr>
        <w:tc>
          <w:tcPr>
            <w:tcW w:type="dxa" w:w="4320"/>
          </w:tcPr>
          <w:p>
            <w:r/>
            <w:r>
              <w:t>Information Technology</w:t>
            </w:r>
          </w:p>
        </w:tc>
        <w:tc>
          <w:tcPr>
            <w:tcW w:type="dxa" w:w="4320"/>
          </w:tcPr>
          <w:p>
            <w:r/>
            <w:r>
              <w:t>9.21</w:t>
            </w:r>
          </w:p>
        </w:tc>
      </w:tr>
      <w:tr>
        <w:tc>
          <w:tcPr>
            <w:tcW w:type="dxa" w:w="4320"/>
          </w:tcPr>
          <w:p>
            <w:r/>
            <w:r>
              <w:t>Metals &amp; Mining</w:t>
            </w:r>
          </w:p>
        </w:tc>
        <w:tc>
          <w:tcPr>
            <w:tcW w:type="dxa" w:w="4320"/>
          </w:tcPr>
          <w:p>
            <w:r/>
            <w:r>
              <w:t>6.69</w:t>
            </w:r>
          </w:p>
        </w:tc>
      </w:tr>
      <w:tr>
        <w:tc>
          <w:tcPr>
            <w:tcW w:type="dxa" w:w="4320"/>
          </w:tcPr>
          <w:p>
            <w:r/>
            <w:r>
              <w:t>Telecommunication</w:t>
            </w:r>
          </w:p>
        </w:tc>
        <w:tc>
          <w:tcPr>
            <w:tcW w:type="dxa" w:w="4320"/>
          </w:tcPr>
          <w:p>
            <w:r/>
            <w:r>
              <w:t>5.19</w:t>
            </w:r>
          </w:p>
        </w:tc>
      </w:tr>
    </w:tbl>
    <w:p/>
    <w:p>
      <w:pPr>
        <w:pStyle w:val="Heading2"/>
      </w:pPr>
      <w:r>
        <w:t>Group Exposure</w:t>
      </w:r>
    </w:p>
    <w:p>
      <w:r>
        <w:t>Not available</w:t>
      </w:r>
    </w:p>
    <w:p>
      <w:pPr>
        <w:pStyle w:val="Heading2"/>
      </w:pPr>
      <w:r>
        <w:t>Rating Profile</w:t>
      </w:r>
    </w:p>
    <w:p>
      <w:r>
        <w:t>Not applicable – equity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