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SBI Gilt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First Tier Scheme Benchmark:</w:t>
      </w:r>
      <w:r>
        <w:t xml:space="preserve"> Nifty All Duration G-Sec Index</w:t>
      </w:r>
    </w:p>
    <w:p>
      <w:pPr>
        <w:pStyle w:val="ListBullet"/>
      </w:pPr>
      <w:r>
        <w:rPr>
          <w:b/>
        </w:rPr>
        <w:t>Additional Benchmark:</w:t>
      </w:r>
      <w:r>
        <w:t xml:space="preserve"> CRISIL 10 Year Gilt Index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Manager:</w:t>
      </w:r>
      <w:r>
        <w:t xml:space="preserve"> Mr. Sudhir Agarwal</w:t>
      </w:r>
    </w:p>
    <w:p>
      <w:pPr>
        <w:pStyle w:val="ListBullet"/>
      </w:pPr>
      <w:r>
        <w:rPr>
          <w:b/>
        </w:rPr>
        <w:t>Managing Since:</w:t>
      </w:r>
      <w:r>
        <w:t xml:space="preserve"> (w.e.f. July 2025)</w:t>
      </w:r>
    </w:p>
    <w:p>
      <w:pPr>
        <w:pStyle w:val="ListBullet"/>
      </w:pPr>
      <w:r>
        <w:rPr>
          <w:b/>
        </w:rPr>
        <w:t>Fund Category / Type:</w:t>
      </w:r>
      <w:r>
        <w:t xml:space="preserve"> An open ended Debt Scheme investing in government securities across maturity. A relatively high interest rate risk and relatively low credit risk</w:t>
      </w:r>
    </w:p>
    <w:p>
      <w:pPr>
        <w:pStyle w:val="ListBullet"/>
      </w:pPr>
      <w:r>
        <w:rPr>
          <w:b/>
        </w:rPr>
        <w:t>Investment Objective:</w:t>
      </w:r>
      <w:r>
        <w:t xml:space="preserve"> To provide returns to the investors generated through investments in Government securities issued by the Central Government and/or State Government(s).</w:t>
      </w:r>
    </w:p>
    <w:p>
      <w:pPr>
        <w:pStyle w:val="ListBullet"/>
      </w:pPr>
      <w:r>
        <w:rPr>
          <w:b/>
        </w:rPr>
        <w:t>Month End AUM:</w:t>
      </w:r>
      <w:r>
        <w:t xml:space="preserve"> ₹10,813.55 Crores (as on December 31, 2025)</w:t>
      </w:r>
    </w:p>
    <w:p>
      <w:pPr>
        <w:pStyle w:val="ListBullet"/>
      </w:pPr>
      <w:r>
        <w:rPr>
          <w:b/>
        </w:rPr>
        <w:t>AAUM for the Month of December 2025:</w:t>
      </w:r>
      <w:r>
        <w:t xml:space="preserve"> ₹10,920.20 Crores</w:t>
      </w:r>
    </w:p>
    <w:p>
      <w:pPr>
        <w:pStyle w:val="ListBullet"/>
      </w:pPr>
      <w:r>
        <w:rPr>
          <w:b/>
        </w:rPr>
        <w:t>Inception Date:</w:t>
      </w:r>
      <w:r>
        <w:t xml:space="preserve"> 30/12/2000</w:t>
      </w:r>
    </w:p>
    <w:p>
      <w:pPr>
        <w:pStyle w:val="ListBullet"/>
      </w:pPr>
      <w:r>
        <w:rPr>
          <w:b/>
        </w:rPr>
        <w:t>Exit Load:</w:t>
      </w:r>
      <w:r>
        <w:t xml:space="preserve"> NIL</w:t>
      </w:r>
    </w:p>
    <w:p>
      <w:pPr>
        <w:pStyle w:val="ListBullet"/>
      </w:pPr>
      <w:r>
        <w:rPr>
          <w:b/>
        </w:rPr>
        <w:t>Expense Ratio:</w:t>
      </w:r>
    </w:p>
    <w:p>
      <w:pPr>
        <w:pStyle w:val="ListBullet"/>
      </w:pPr>
      <w:r>
        <w:t>Regular: 0.95%</w:t>
      </w:r>
    </w:p>
    <w:p>
      <w:pPr>
        <w:pStyle w:val="ListBullet"/>
      </w:pPr>
      <w:r>
        <w:t>Direct: 0.46%</w:t>
      </w:r>
    </w:p>
    <w:p>
      <w:pPr>
        <w:pStyle w:val="ListBullet"/>
      </w:pPr>
      <w:r>
        <w:rPr>
          <w:b/>
        </w:rPr>
        <w:t>Minimum Investment:</w:t>
      </w:r>
      <w:r>
        <w:t xml:space="preserve"> ₹5,000 &amp; in multiples of ₹1</w:t>
      </w:r>
    </w:p>
    <w:p>
      <w:pPr>
        <w:pStyle w:val="ListBullet"/>
      </w:pPr>
      <w:r>
        <w:rPr>
          <w:b/>
        </w:rPr>
        <w:t>Additional Investment:</w:t>
      </w:r>
      <w:r>
        <w:t xml:space="preserve"> ₹1,000 &amp; in multiples of ₹1</w:t>
      </w:r>
    </w:p>
    <w:p>
      <w:pPr>
        <w:pStyle w:val="ListBullet"/>
      </w:pPr>
      <w:r>
        <w:rPr>
          <w:b/>
        </w:rPr>
        <w:t>SIP Details:</w:t>
      </w:r>
    </w:p>
    <w:p>
      <w:pPr>
        <w:pStyle w:val="ListBullet"/>
      </w:pPr>
      <w:r>
        <w:t>Daily: Minimum ₹500 &amp; in multiples of ₹1 for a minimum of 12 instalments</w:t>
      </w:r>
    </w:p>
    <w:p>
      <w:pPr>
        <w:pStyle w:val="ListBullet"/>
      </w:pPr>
      <w:r>
        <w:t>Weekly: Minimum ₹1000 &amp; in multiples of ₹1 for a minimum of 6 instalments or Minimum ₹500 &amp; in multiples of ₹1 for a minimum of 12 instalments</w:t>
      </w:r>
    </w:p>
    <w:p>
      <w:pPr>
        <w:pStyle w:val="ListBullet"/>
      </w:pPr>
      <w:r>
        <w:t>Monthly: Minimum ₹1000 &amp; in multiples of ₹1 for minimum six months or minimum ₹500 &amp; in multiples of ₹1 for minimum one year</w:t>
      </w:r>
    </w:p>
    <w:p>
      <w:pPr>
        <w:pStyle w:val="ListBullet"/>
      </w:pPr>
      <w:r>
        <w:t>Quarterly: Minimum ₹1500 &amp; in multiples of ₹1 for minimum one year</w:t>
      </w:r>
    </w:p>
    <w:p>
      <w:pPr>
        <w:pStyle w:val="ListBullet"/>
      </w:pPr>
      <w:r>
        <w:t>Semi Annual: Minimum ₹3000 &amp; in multiples of ₹1 for a minimum of 4 installments</w:t>
      </w:r>
    </w:p>
    <w:p>
      <w:pPr>
        <w:pStyle w:val="ListBullet"/>
      </w:pPr>
      <w:r>
        <w:t>Annual: Minimum ₹5000 &amp; in multiples of ₹1 for a minimum of 4 installments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Modified Duration:</w:t>
      </w:r>
      <w:r>
        <w:t xml:space="preserve"> 5.10</w:t>
      </w:r>
    </w:p>
    <w:p>
      <w:pPr>
        <w:pStyle w:val="ListBullet"/>
      </w:pPr>
      <w:r>
        <w:rPr>
          <w:b/>
        </w:rPr>
        <w:t>Average Maturity:</w:t>
      </w:r>
      <w:r>
        <w:t xml:space="preserve"> 8.21 years</w:t>
      </w:r>
    </w:p>
    <w:p>
      <w:pPr>
        <w:pStyle w:val="ListBullet"/>
      </w:pPr>
      <w:r>
        <w:rPr>
          <w:b/>
        </w:rPr>
        <w:t>Macaulay Duration:</w:t>
      </w:r>
      <w:r>
        <w:t xml:space="preserve"> 5.27 years</w:t>
      </w:r>
    </w:p>
    <w:p>
      <w:pPr>
        <w:pStyle w:val="ListBullet"/>
      </w:pPr>
      <w:r>
        <w:rPr>
          <w:b/>
        </w:rPr>
        <w:t>Yield to Maturity:</w:t>
      </w:r>
      <w:r>
        <w:t xml:space="preserve"> 6.44%</w:t>
      </w:r>
    </w:p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Time Period</w:t>
            </w:r>
          </w:p>
        </w:tc>
        <w:tc>
          <w:tcPr>
            <w:tcW w:type="dxa" w:w="2880"/>
          </w:tcPr>
          <w:p>
            <w:r/>
            <w:r>
              <w:t>Fund (CAGR %)</w:t>
            </w:r>
          </w:p>
        </w:tc>
        <w:tc>
          <w:tcPr>
            <w:tcW w:type="dxa" w:w="2880"/>
          </w:tcPr>
          <w:p>
            <w:r/>
            <w:r>
              <w:t>Fund (Point-to-Point returns on Standard Investment of ₹10,000/-)</w:t>
            </w:r>
          </w:p>
        </w:tc>
      </w:tr>
      <w:tr>
        <w:tc>
          <w:tcPr>
            <w:tcW w:type="dxa" w:w="2880"/>
          </w:tcPr>
          <w:p>
            <w:r/>
            <w:r>
              <w:t>1 Year</w:t>
            </w:r>
          </w:p>
        </w:tc>
        <w:tc>
          <w:tcPr>
            <w:tcW w:type="dxa" w:w="2880"/>
          </w:tcPr>
          <w:p>
            <w:r/>
            <w:r>
              <w:t>4.55</w:t>
            </w:r>
          </w:p>
        </w:tc>
        <w:tc>
          <w:tcPr>
            <w:tcW w:type="dxa" w:w="2880"/>
          </w:tcPr>
          <w:p>
            <w:r/>
            <w:r>
              <w:t>10,455</w:t>
            </w:r>
          </w:p>
        </w:tc>
      </w:tr>
      <w:tr>
        <w:tc>
          <w:tcPr>
            <w:tcW w:type="dxa" w:w="2880"/>
          </w:tcPr>
          <w:p>
            <w:r/>
            <w:r>
              <w:t>3 Years</w:t>
            </w:r>
          </w:p>
        </w:tc>
        <w:tc>
          <w:tcPr>
            <w:tcW w:type="dxa" w:w="2880"/>
          </w:tcPr>
          <w:p>
            <w:r/>
            <w:r>
              <w:t>7.09</w:t>
            </w:r>
          </w:p>
        </w:tc>
        <w:tc>
          <w:tcPr>
            <w:tcW w:type="dxa" w:w="2880"/>
          </w:tcPr>
          <w:p>
            <w:r/>
            <w:r>
              <w:t>12,255</w:t>
            </w:r>
          </w:p>
        </w:tc>
      </w:tr>
      <w:tr>
        <w:tc>
          <w:tcPr>
            <w:tcW w:type="dxa" w:w="2880"/>
          </w:tcPr>
          <w:p>
            <w:r/>
            <w:r>
              <w:t>5 Years</w:t>
            </w:r>
          </w:p>
        </w:tc>
        <w:tc>
          <w:tcPr>
            <w:tcW w:type="dxa" w:w="2880"/>
          </w:tcPr>
          <w:p>
            <w:r/>
            <w:r>
              <w:t>5.63</w:t>
            </w:r>
          </w:p>
        </w:tc>
        <w:tc>
          <w:tcPr>
            <w:tcW w:type="dxa" w:w="2880"/>
          </w:tcPr>
          <w:p>
            <w:r/>
            <w:r>
              <w:t>13,155</w:t>
            </w:r>
          </w:p>
        </w:tc>
      </w:tr>
      <w:tr>
        <w:tc>
          <w:tcPr>
            <w:tcW w:type="dxa" w:w="2880"/>
          </w:tcPr>
          <w:p>
            <w:r/>
            <w:r>
              <w:t>Since Inception</w:t>
            </w:r>
          </w:p>
        </w:tc>
        <w:tc>
          <w:tcPr>
            <w:tcW w:type="dxa" w:w="2880"/>
          </w:tcPr>
          <w:p>
            <w:r/>
            <w:r>
              <w:t>7.86</w:t>
            </w:r>
          </w:p>
        </w:tc>
        <w:tc>
          <w:tcPr>
            <w:tcW w:type="dxa" w:w="2880"/>
          </w:tcPr>
          <w:p>
            <w:r/>
            <w:r>
              <w:t>66,394</w:t>
            </w:r>
          </w:p>
        </w:tc>
      </w:tr>
    </w:tbl>
    <w:p/>
    <w:p>
      <w:pPr>
        <w:pStyle w:val="Heading2"/>
      </w:pPr>
      <w:r>
        <w:t>Top 5 Stock Holdings</w:t>
      </w:r>
    </w:p>
    <w:p>
      <w:r>
        <w:t>Not applicable – this is a debt fund.</w:t>
      </w:r>
    </w:p>
    <w:p>
      <w:pPr>
        <w:pStyle w:val="Heading2"/>
      </w:pPr>
      <w:r>
        <w:t>Top 5 Sector Holdings</w:t>
      </w:r>
    </w:p>
    <w:p>
      <w:r>
        <w:t>Not applicable – this is a debt fund.</w:t>
      </w:r>
    </w:p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Rating Class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Sovereign</w:t>
            </w:r>
          </w:p>
        </w:tc>
        <w:tc>
          <w:tcPr>
            <w:tcW w:type="dxa" w:w="4320"/>
          </w:tcPr>
          <w:p>
            <w:r/>
            <w:r>
              <w:t>79.24</w:t>
            </w:r>
          </w:p>
        </w:tc>
      </w:tr>
      <w:tr>
        <w:tc>
          <w:tcPr>
            <w:tcW w:type="dxa" w:w="4320"/>
          </w:tcPr>
          <w:p>
            <w:r/>
            <w:r>
              <w:t>Cash, Cash Equivalents, And Others</w:t>
            </w:r>
          </w:p>
        </w:tc>
        <w:tc>
          <w:tcPr>
            <w:tcW w:type="dxa" w:w="4320"/>
          </w:tcPr>
          <w:p>
            <w:r/>
            <w:r>
              <w:t>20.76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