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SBI Large &amp; Midcap Fund</w:t>
      </w:r>
    </w:p>
    <w:p>
      <w:pPr>
        <w:pStyle w:val="Heading2"/>
      </w:pPr>
      <w:r>
        <w:t>Benchmark Index</w:t>
      </w:r>
    </w:p>
    <w:p>
      <w:pPr>
        <w:pStyle w:val="ListBullet"/>
      </w:pPr>
      <w:r>
        <w:rPr>
          <w:b/>
        </w:rPr>
        <w:t>First Tier Scheme Benchmark:</w:t>
      </w:r>
      <w:r>
        <w:t xml:space="preserve"> NIFTY LargeMidcap 250 (TRI)</w:t>
      </w:r>
    </w:p>
    <w:p>
      <w:pPr>
        <w:pStyle w:val="ListBullet"/>
      </w:pPr>
      <w:r>
        <w:rPr>
          <w:b/>
        </w:rPr>
        <w:t>Additional Benchmark:</w:t>
      </w:r>
      <w:r>
        <w:t xml:space="preserve"> BSE Sensex (TRI)</w:t>
      </w:r>
    </w:p>
    <w:p>
      <w:pPr>
        <w:pStyle w:val="Heading2"/>
      </w:pPr>
      <w:r>
        <w:t>Portfolio Details</w:t>
      </w:r>
    </w:p>
    <w:p>
      <w:pPr>
        <w:pStyle w:val="ListBullet"/>
      </w:pPr>
      <w:r>
        <w:rPr>
          <w:b/>
        </w:rPr>
        <w:t>Fund Manager:</w:t>
      </w:r>
      <w:r>
        <w:t xml:space="preserve"> Mr. Saurabh Pant</w:t>
      </w:r>
    </w:p>
    <w:p>
      <w:pPr>
        <w:pStyle w:val="ListBullet"/>
      </w:pPr>
      <w:r>
        <w:rPr>
          <w:b/>
        </w:rPr>
        <w:t>Managing Since:</w:t>
      </w:r>
      <w:r>
        <w:t xml:space="preserve"> Sep-2016</w:t>
      </w:r>
    </w:p>
    <w:p>
      <w:pPr>
        <w:pStyle w:val="ListBullet"/>
      </w:pPr>
      <w:r>
        <w:rPr>
          <w:b/>
        </w:rPr>
        <w:t>Fund Category / Type:</w:t>
      </w:r>
      <w:r>
        <w:t xml:space="preserve"> An open-ended Equity Scheme investing in both large cap and mid cap stocks.</w:t>
      </w:r>
    </w:p>
    <w:p>
      <w:pPr>
        <w:pStyle w:val="ListBullet"/>
      </w:pPr>
      <w:r>
        <w:rPr>
          <w:b/>
        </w:rPr>
        <w:t>Investment Objective:</w:t>
      </w:r>
      <w:r>
        <w:t xml:space="preserve"> To provide the investor with the opportunity of long-term capital appreciation by investing in diversified portfolio comprising predominantly large cap and mid cap companies.</w:t>
      </w:r>
    </w:p>
    <w:p>
      <w:pPr>
        <w:pStyle w:val="ListBullet"/>
      </w:pPr>
      <w:r>
        <w:rPr>
          <w:b/>
        </w:rPr>
        <w:t>AAUM for the Month of December 2025:</w:t>
      </w:r>
      <w:r>
        <w:t xml:space="preserve"> ₹36,969.39 Crores</w:t>
      </w:r>
    </w:p>
    <w:p>
      <w:pPr>
        <w:pStyle w:val="ListBullet"/>
      </w:pPr>
      <w:r>
        <w:rPr>
          <w:b/>
        </w:rPr>
        <w:t>AUM as on December 31, 2025:</w:t>
      </w:r>
      <w:r>
        <w:t xml:space="preserve"> ₹37,451.71 Crores</w:t>
      </w:r>
    </w:p>
    <w:p>
      <w:pPr>
        <w:pStyle w:val="ListBullet"/>
      </w:pPr>
      <w:r>
        <w:rPr>
          <w:b/>
        </w:rPr>
        <w:t>NAV:</w:t>
      </w:r>
    </w:p>
    <w:p>
      <w:pPr>
        <w:pStyle w:val="ListBullet"/>
      </w:pPr>
      <w:r>
        <w:t>Reg-Plan-IDCW: ₹293.9318</w:t>
      </w:r>
    </w:p>
    <w:p>
      <w:pPr>
        <w:pStyle w:val="ListBullet"/>
      </w:pPr>
      <w:r>
        <w:t>Reg-Plan-Growth: ₹650.5984</w:t>
      </w:r>
    </w:p>
    <w:p>
      <w:pPr>
        <w:pStyle w:val="ListBullet"/>
      </w:pPr>
      <w:r>
        <w:t>Dir-Plan-IDCW: ₹369.2627</w:t>
      </w:r>
    </w:p>
    <w:p>
      <w:pPr>
        <w:pStyle w:val="ListBullet"/>
      </w:pPr>
      <w:r>
        <w:t>Dir-Plan-Growth: ₹708.4583</w:t>
      </w:r>
    </w:p>
    <w:p>
      <w:pPr>
        <w:pStyle w:val="ListBullet"/>
      </w:pPr>
      <w:r>
        <w:rPr>
          <w:b/>
        </w:rPr>
        <w:t>Date of Allotment:</w:t>
      </w:r>
      <w:r>
        <w:t xml:space="preserve"> 28/02/1993</w:t>
      </w:r>
    </w:p>
    <w:p>
      <w:pPr>
        <w:pStyle w:val="ListBullet"/>
      </w:pPr>
      <w:r>
        <w:rPr>
          <w:b/>
        </w:rPr>
        <w:t>Exit Load:</w:t>
      </w:r>
      <w:r>
        <w:t xml:space="preserve"> For exit on or before 30 days from the date of allotment - 0.10% For exit after 30 days from the date of allotment- Nil</w:t>
      </w:r>
    </w:p>
    <w:p>
      <w:pPr>
        <w:pStyle w:val="ListBullet"/>
      </w:pPr>
      <w:r>
        <w:rPr>
          <w:b/>
        </w:rPr>
        <w:t>Expense Ratio:</w:t>
      </w:r>
      <w:r>
        <w:t xml:space="preserve"> Not available</w:t>
      </w:r>
    </w:p>
    <w:p>
      <w:pPr>
        <w:pStyle w:val="ListBullet"/>
      </w:pPr>
      <w:r>
        <w:rPr>
          <w:b/>
        </w:rPr>
        <w:t>Minimum Investment:</w:t>
      </w:r>
      <w:r>
        <w:t xml:space="preserve"> ₹5000 &amp; in multiples of ₹1</w:t>
      </w:r>
    </w:p>
    <w:p>
      <w:pPr>
        <w:pStyle w:val="ListBullet"/>
      </w:pPr>
      <w:r>
        <w:rPr>
          <w:b/>
        </w:rPr>
        <w:t>SIP:</w:t>
      </w:r>
    </w:p>
    <w:p>
      <w:pPr>
        <w:pStyle w:val="ListBullet"/>
      </w:pPr>
      <w:r>
        <w:t>Daily: Minimum ₹500 &amp; in multiples of ₹1 thereafter for a minimum of 12 instalments.</w:t>
      </w:r>
    </w:p>
    <w:p>
      <w:pPr>
        <w:pStyle w:val="ListBullet"/>
      </w:pPr>
      <w:r>
        <w:t>Weekly: Minimum ₹1000 &amp; in multiples of ₹1 thereafter for a minimum of 6 instalments (or) Minimum ₹500 &amp; in multiples of ₹1 thereafter for a minimum of 12 instalments.</w:t>
      </w:r>
    </w:p>
    <w:p>
      <w:pPr>
        <w:pStyle w:val="ListBullet"/>
      </w:pPr>
      <w:r>
        <w:t>Monthly: Minimum ₹1000 &amp; in multiples of ₹1 thereafter for minimum six months (or) minimum ₹500 &amp; in multiples of ₹1 thereafter for minimum one year.</w:t>
      </w:r>
    </w:p>
    <w:p>
      <w:pPr>
        <w:pStyle w:val="ListBullet"/>
      </w:pPr>
      <w:r>
        <w:t>Quarterly: Minimum ₹1500 &amp; in multiples of ₹1 thereafter for minimum one year.</w:t>
      </w:r>
    </w:p>
    <w:p>
      <w:pPr>
        <w:pStyle w:val="ListBullet"/>
      </w:pPr>
      <w:r>
        <w:t>Semi Annual: Minimum ₹3000 &amp; in multiples of ₹1 thereafter for a minimum of 4 installments.</w:t>
      </w:r>
    </w:p>
    <w:p>
      <w:pPr>
        <w:pStyle w:val="ListBullet"/>
      </w:pPr>
      <w:r>
        <w:t>Annual: Minimum ₹5000 &amp; in multiples of ₹1 thereafter for a minimum of 4 installments.</w:t>
      </w:r>
    </w:p>
    <w:p>
      <w:pPr>
        <w:pStyle w:val="ListBullet"/>
      </w:pPr>
      <w:r>
        <w:rPr>
          <w:b/>
        </w:rPr>
        <w:t>Lock-in Period:</w:t>
      </w:r>
      <w:r>
        <w:t xml:space="preserve"> Not available</w:t>
      </w:r>
    </w:p>
    <w:p>
      <w:pPr>
        <w:pStyle w:val="Heading2"/>
      </w:pPr>
      <w:r>
        <w:t>Quantitative Indicators</w:t>
      </w:r>
    </w:p>
    <w:p>
      <w:pPr>
        <w:pStyle w:val="ListBullet"/>
      </w:pPr>
      <w:r>
        <w:rPr>
          <w:b/>
        </w:rPr>
        <w:t>Standard Deviation:</w:t>
      </w:r>
      <w:r>
        <w:t xml:space="preserve"> 11.00%</w:t>
      </w:r>
    </w:p>
    <w:p>
      <w:pPr>
        <w:pStyle w:val="ListBullet"/>
      </w:pPr>
      <w:r>
        <w:rPr>
          <w:b/>
        </w:rPr>
        <w:t>Beta:</w:t>
      </w:r>
      <w:r>
        <w:t xml:space="preserve"> 0.80</w:t>
      </w:r>
    </w:p>
    <w:p>
      <w:pPr>
        <w:pStyle w:val="ListBullet"/>
      </w:pPr>
      <w:r>
        <w:rPr>
          <w:b/>
        </w:rPr>
        <w:t>Sharpe Ratio:</w:t>
      </w:r>
      <w:r>
        <w:t xml:space="preserve"> 1.06</w:t>
      </w:r>
    </w:p>
    <w:p>
      <w:pPr>
        <w:pStyle w:val="ListBullet"/>
      </w:pPr>
      <w:r>
        <w:rPr>
          <w:b/>
        </w:rPr>
        <w:t>Portfolio Turnover:</w:t>
      </w:r>
      <w:r>
        <w:t xml:space="preserve"> 0.57</w:t>
      </w:r>
    </w:p>
    <w:p>
      <w:pPr>
        <w:pStyle w:val="ListBullet"/>
      </w:pPr>
      <w:r>
        <w:rPr>
          <w:b/>
        </w:rPr>
        <w:t>Equity Turnover:</w:t>
      </w:r>
      <w:r>
        <w:t xml:space="preserve"> 0.29</w:t>
      </w:r>
    </w:p>
    <w:p>
      <w:pPr>
        <w:pStyle w:val="Heading2"/>
      </w:pPr>
      <w:r>
        <w:t>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Time Period</w:t>
            </w:r>
          </w:p>
        </w:tc>
        <w:tc>
          <w:tcPr>
            <w:tcW w:type="dxa" w:w="2160"/>
          </w:tcPr>
          <w:p>
            <w:r/>
            <w:r>
              <w:t>Fund (CAGR %)</w:t>
            </w:r>
          </w:p>
        </w:tc>
        <w:tc>
          <w:tcPr>
            <w:tcW w:type="dxa" w:w="2160"/>
          </w:tcPr>
          <w:p>
            <w:r/>
            <w:r>
              <w:t>First Tier Scheme Benchmark (CAGR %)</w:t>
            </w:r>
          </w:p>
        </w:tc>
        <w:tc>
          <w:tcPr>
            <w:tcW w:type="dxa" w:w="2160"/>
          </w:tcPr>
          <w:p>
            <w:r/>
            <w:r>
              <w:t>Additional Benchmark (CAGR %)</w:t>
            </w:r>
          </w:p>
        </w:tc>
      </w:tr>
      <w:tr>
        <w:tc>
          <w:tcPr>
            <w:tcW w:type="dxa" w:w="2160"/>
          </w:tcPr>
          <w:p>
            <w:r/>
            <w:r>
              <w:t>1 Year</w:t>
            </w:r>
          </w:p>
        </w:tc>
        <w:tc>
          <w:tcPr>
            <w:tcW w:type="dxa" w:w="2160"/>
          </w:tcPr>
          <w:p>
            <w:r/>
            <w:r>
              <w:t>10.08</w:t>
            </w:r>
          </w:p>
        </w:tc>
        <w:tc>
          <w:tcPr>
            <w:tcW w:type="dxa" w:w="2160"/>
          </w:tcPr>
          <w:p>
            <w:r/>
            <w:r>
              <w:t>8.19</w:t>
            </w:r>
          </w:p>
        </w:tc>
        <w:tc>
          <w:tcPr>
            <w:tcW w:type="dxa" w:w="2160"/>
          </w:tcPr>
          <w:p>
            <w:r/>
            <w:r>
              <w:t>10.38</w:t>
            </w:r>
          </w:p>
        </w:tc>
      </w:tr>
      <w:tr>
        <w:tc>
          <w:tcPr>
            <w:tcW w:type="dxa" w:w="2160"/>
          </w:tcPr>
          <w:p>
            <w:r/>
            <w:r>
              <w:t>3 Years</w:t>
            </w:r>
          </w:p>
        </w:tc>
        <w:tc>
          <w:tcPr>
            <w:tcW w:type="dxa" w:w="2160"/>
          </w:tcPr>
          <w:p>
            <w:r/>
            <w:r>
              <w:t>18.07</w:t>
            </w:r>
          </w:p>
        </w:tc>
        <w:tc>
          <w:tcPr>
            <w:tcW w:type="dxa" w:w="2160"/>
          </w:tcPr>
          <w:p>
            <w:r/>
            <w:r>
              <w:t>19.39</w:t>
            </w:r>
          </w:p>
        </w:tc>
        <w:tc>
          <w:tcPr>
            <w:tcW w:type="dxa" w:w="2160"/>
          </w:tcPr>
          <w:p>
            <w:r/>
            <w:r>
              <w:t>13.27</w:t>
            </w:r>
          </w:p>
        </w:tc>
      </w:tr>
      <w:tr>
        <w:tc>
          <w:tcPr>
            <w:tcW w:type="dxa" w:w="2160"/>
          </w:tcPr>
          <w:p>
            <w:r/>
            <w:r>
              <w:t>5 Years</w:t>
            </w:r>
          </w:p>
        </w:tc>
        <w:tc>
          <w:tcPr>
            <w:tcW w:type="dxa" w:w="2160"/>
          </w:tcPr>
          <w:p>
            <w:r/>
            <w:r>
              <w:t>19.74</w:t>
            </w:r>
          </w:p>
        </w:tc>
        <w:tc>
          <w:tcPr>
            <w:tcW w:type="dxa" w:w="2160"/>
          </w:tcPr>
          <w:p>
            <w:r/>
            <w:r>
              <w:t>17.04</w:t>
            </w:r>
          </w:p>
        </w:tc>
        <w:tc>
          <w:tcPr>
            <w:tcW w:type="dxa" w:w="2160"/>
          </w:tcPr>
          <w:p>
            <w:r/>
            <w:r>
              <w:t>13.64</w:t>
            </w:r>
          </w:p>
        </w:tc>
      </w:tr>
      <w:tr>
        <w:tc>
          <w:tcPr>
            <w:tcW w:type="dxa" w:w="2160"/>
          </w:tcPr>
          <w:p>
            <w:r/>
            <w:r>
              <w:t>Since Inception</w:t>
            </w:r>
          </w:p>
        </w:tc>
        <w:tc>
          <w:tcPr>
            <w:tcW w:type="dxa" w:w="2160"/>
          </w:tcPr>
          <w:p>
            <w:r/>
            <w:r>
              <w:t>14.65</w:t>
            </w:r>
          </w:p>
        </w:tc>
        <w:tc>
          <w:tcPr>
            <w:tcW w:type="dxa" w:w="2160"/>
          </w:tcPr>
          <w:p>
            <w:r/>
            <w:r>
              <w:t>19.51</w:t>
            </w:r>
          </w:p>
        </w:tc>
        <w:tc>
          <w:tcPr>
            <w:tcW w:type="dxa" w:w="2160"/>
          </w:tcPr>
          <w:p>
            <w:r/>
            <w:r>
              <w:t>13.61</w:t>
            </w:r>
          </w:p>
        </w:tc>
      </w:tr>
    </w:tbl>
    <w:p/>
    <w:p>
      <w:pPr>
        <w:pStyle w:val="Heading2"/>
      </w:pPr>
      <w:r>
        <w:t>Top 5 Stock Holdings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Stock Name</w:t>
            </w:r>
          </w:p>
        </w:tc>
        <w:tc>
          <w:tcPr>
            <w:tcW w:type="dxa" w:w="2880"/>
          </w:tcPr>
          <w:p>
            <w:r/>
            <w:r>
              <w:t>Sector</w:t>
            </w:r>
          </w:p>
        </w:tc>
        <w:tc>
          <w:tcPr>
            <w:tcW w:type="dxa" w:w="2880"/>
          </w:tcPr>
          <w:p>
            <w:r/>
            <w:r>
              <w:t>% of Portfolio</w:t>
            </w:r>
          </w:p>
        </w:tc>
      </w:tr>
      <w:tr>
        <w:tc>
          <w:tcPr>
            <w:tcW w:type="dxa" w:w="2880"/>
          </w:tcPr>
          <w:p>
            <w:r/>
            <w:r>
              <w:t>HDFC Bank Ltd</w:t>
            </w:r>
          </w:p>
        </w:tc>
        <w:tc>
          <w:tcPr>
            <w:tcW w:type="dxa" w:w="2880"/>
          </w:tcPr>
          <w:p>
            <w:r/>
            <w:r>
              <w:t>Not available</w:t>
            </w:r>
          </w:p>
        </w:tc>
        <w:tc>
          <w:tcPr>
            <w:tcW w:type="dxa" w:w="2880"/>
          </w:tcPr>
          <w:p>
            <w:r/>
            <w:r>
              <w:t>5.82</w:t>
            </w:r>
          </w:p>
        </w:tc>
      </w:tr>
      <w:tr>
        <w:tc>
          <w:tcPr>
            <w:tcW w:type="dxa" w:w="2880"/>
          </w:tcPr>
          <w:p>
            <w:r/>
            <w:r>
              <w:t>Reliance Industries Ltd</w:t>
            </w:r>
          </w:p>
        </w:tc>
        <w:tc>
          <w:tcPr>
            <w:tcW w:type="dxa" w:w="2880"/>
          </w:tcPr>
          <w:p>
            <w:r/>
            <w:r>
              <w:t>Not available</w:t>
            </w:r>
          </w:p>
        </w:tc>
        <w:tc>
          <w:tcPr>
            <w:tcW w:type="dxa" w:w="2880"/>
          </w:tcPr>
          <w:p>
            <w:r/>
            <w:r>
              <w:t>3.19</w:t>
            </w:r>
          </w:p>
        </w:tc>
      </w:tr>
      <w:tr>
        <w:tc>
          <w:tcPr>
            <w:tcW w:type="dxa" w:w="2880"/>
          </w:tcPr>
          <w:p>
            <w:r/>
            <w:r>
              <w:t>Axis Bank Ltd</w:t>
            </w:r>
          </w:p>
        </w:tc>
        <w:tc>
          <w:tcPr>
            <w:tcW w:type="dxa" w:w="2880"/>
          </w:tcPr>
          <w:p>
            <w:r/>
            <w:r>
              <w:t>Not available</w:t>
            </w:r>
          </w:p>
        </w:tc>
        <w:tc>
          <w:tcPr>
            <w:tcW w:type="dxa" w:w="2880"/>
          </w:tcPr>
          <w:p>
            <w:r/>
            <w:r>
              <w:t>3.12</w:t>
            </w:r>
          </w:p>
        </w:tc>
      </w:tr>
      <w:tr>
        <w:tc>
          <w:tcPr>
            <w:tcW w:type="dxa" w:w="2880"/>
          </w:tcPr>
          <w:p>
            <w:r/>
            <w:r>
              <w:t>State Bank Of India</w:t>
            </w:r>
          </w:p>
        </w:tc>
        <w:tc>
          <w:tcPr>
            <w:tcW w:type="dxa" w:w="2880"/>
          </w:tcPr>
          <w:p>
            <w:r/>
            <w:r>
              <w:t>Not available</w:t>
            </w:r>
          </w:p>
        </w:tc>
        <w:tc>
          <w:tcPr>
            <w:tcW w:type="dxa" w:w="2880"/>
          </w:tcPr>
          <w:p>
            <w:r/>
            <w:r>
              <w:t>3.02</w:t>
            </w:r>
          </w:p>
        </w:tc>
      </w:tr>
      <w:tr>
        <w:tc>
          <w:tcPr>
            <w:tcW w:type="dxa" w:w="2880"/>
          </w:tcPr>
          <w:p>
            <w:r/>
            <w:r>
              <w:t>Asian Paints Ltd</w:t>
            </w:r>
          </w:p>
        </w:tc>
        <w:tc>
          <w:tcPr>
            <w:tcW w:type="dxa" w:w="2880"/>
          </w:tcPr>
          <w:p>
            <w:r/>
            <w:r>
              <w:t>Not available</w:t>
            </w:r>
          </w:p>
        </w:tc>
        <w:tc>
          <w:tcPr>
            <w:tcW w:type="dxa" w:w="2880"/>
          </w:tcPr>
          <w:p>
            <w:r/>
            <w:r>
              <w:t>2.84</w:t>
            </w:r>
          </w:p>
        </w:tc>
      </w:tr>
    </w:tbl>
    <w:p/>
    <w:p>
      <w:pPr>
        <w:pStyle w:val="Heading2"/>
      </w:pPr>
      <w:r>
        <w:t>Top 5 Sector Holdings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Sector</w:t>
            </w:r>
          </w:p>
        </w:tc>
        <w:tc>
          <w:tcPr>
            <w:tcW w:type="dxa" w:w="4320"/>
          </w:tcPr>
          <w:p>
            <w:r/>
            <w:r>
              <w:t>% of Portfolio</w:t>
            </w:r>
          </w:p>
        </w:tc>
      </w:tr>
      <w:tr>
        <w:tc>
          <w:tcPr>
            <w:tcW w:type="dxa" w:w="4320"/>
          </w:tcPr>
          <w:p>
            <w:r/>
            <w:r>
              <w:t>Financial Services</w:t>
            </w:r>
          </w:p>
        </w:tc>
        <w:tc>
          <w:tcPr>
            <w:tcW w:type="dxa" w:w="4320"/>
          </w:tcPr>
          <w:p>
            <w:r/>
            <w:r>
              <w:t>21.45</w:t>
            </w:r>
          </w:p>
        </w:tc>
      </w:tr>
      <w:tr>
        <w:tc>
          <w:tcPr>
            <w:tcW w:type="dxa" w:w="4320"/>
          </w:tcPr>
          <w:p>
            <w:r/>
            <w:r>
              <w:t>Healthcare</w:t>
            </w:r>
          </w:p>
        </w:tc>
        <w:tc>
          <w:tcPr>
            <w:tcW w:type="dxa" w:w="4320"/>
          </w:tcPr>
          <w:p>
            <w:r/>
            <w:r>
              <w:t>12.62</w:t>
            </w:r>
          </w:p>
        </w:tc>
      </w:tr>
      <w:tr>
        <w:tc>
          <w:tcPr>
            <w:tcW w:type="dxa" w:w="4320"/>
          </w:tcPr>
          <w:p>
            <w:r/>
            <w:r>
              <w:t>Automobile And Auto Components</w:t>
            </w:r>
          </w:p>
        </w:tc>
        <w:tc>
          <w:tcPr>
            <w:tcW w:type="dxa" w:w="4320"/>
          </w:tcPr>
          <w:p>
            <w:r/>
            <w:r>
              <w:t>8.49</w:t>
            </w:r>
          </w:p>
        </w:tc>
      </w:tr>
      <w:tr>
        <w:tc>
          <w:tcPr>
            <w:tcW w:type="dxa" w:w="4320"/>
          </w:tcPr>
          <w:p>
            <w:r/>
            <w:r>
              <w:t>Capital Goods</w:t>
            </w:r>
          </w:p>
        </w:tc>
        <w:tc>
          <w:tcPr>
            <w:tcW w:type="dxa" w:w="4320"/>
          </w:tcPr>
          <w:p>
            <w:r/>
            <w:r>
              <w:t>7.82</w:t>
            </w:r>
          </w:p>
        </w:tc>
      </w:tr>
      <w:tr>
        <w:tc>
          <w:tcPr>
            <w:tcW w:type="dxa" w:w="4320"/>
          </w:tcPr>
          <w:p>
            <w:r/>
            <w:r>
              <w:t>Consumer Durables</w:t>
            </w:r>
          </w:p>
        </w:tc>
        <w:tc>
          <w:tcPr>
            <w:tcW w:type="dxa" w:w="4320"/>
          </w:tcPr>
          <w:p>
            <w:r/>
            <w:r>
              <w:t>7.40</w:t>
            </w:r>
          </w:p>
        </w:tc>
      </w:tr>
    </w:tbl>
    <w:p/>
    <w:p>
      <w:pPr>
        <w:pStyle w:val="Heading2"/>
      </w:pPr>
      <w:r>
        <w:t>Group Exposure</w:t>
      </w:r>
    </w:p>
    <w:p>
      <w:r>
        <w:t>Not available</w:t>
      </w:r>
    </w:p>
    <w:p>
      <w:pPr>
        <w:pStyle w:val="Heading2"/>
      </w:pPr>
      <w:r>
        <w:t>Rating Profile</w:t>
      </w:r>
    </w:p>
    <w:p>
      <w:r>
        <w:t>Not applicable – equity fund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