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SBI MidCap Fund</w:t>
      </w:r>
    </w:p>
    <w:p>
      <w:pPr>
        <w:pStyle w:val="Heading2"/>
      </w:pPr>
      <w:r>
        <w:t>Benchmark Index</w:t>
      </w:r>
    </w:p>
    <w:p>
      <w:pPr>
        <w:pStyle w:val="ListBullet"/>
      </w:pPr>
      <w:r>
        <w:rPr>
          <w:b/>
        </w:rPr>
        <w:t>First Tier Scheme Benchmark:</w:t>
      </w:r>
      <w:r>
        <w:t xml:space="preserve"> Nifty Midcap 150 (TRI)</w:t>
      </w:r>
    </w:p>
    <w:p>
      <w:pPr>
        <w:pStyle w:val="ListBullet"/>
      </w:pPr>
      <w:r>
        <w:rPr>
          <w:b/>
        </w:rPr>
        <w:t>Additional Benchmark:</w:t>
      </w:r>
      <w:r>
        <w:t xml:space="preserve"> BSE Sensex (TRI)</w:t>
      </w:r>
    </w:p>
    <w:p>
      <w:pPr>
        <w:pStyle w:val="Heading2"/>
      </w:pPr>
      <w:r>
        <w:t>Portfolio Details</w:t>
      </w:r>
    </w:p>
    <w:p>
      <w:pPr>
        <w:pStyle w:val="ListBullet"/>
      </w:pPr>
      <w:r>
        <w:rPr>
          <w:b/>
        </w:rPr>
        <w:t>Fund Manager:</w:t>
      </w:r>
      <w:r>
        <w:t xml:space="preserve"> Mr. Bhavin Vithlani</w:t>
      </w:r>
    </w:p>
    <w:p>
      <w:pPr>
        <w:pStyle w:val="ListBullet"/>
      </w:pPr>
      <w:r>
        <w:rPr>
          <w:b/>
        </w:rPr>
        <w:t>Managing Since:</w:t>
      </w:r>
      <w:r>
        <w:t xml:space="preserve"> April 2024</w:t>
      </w:r>
    </w:p>
    <w:p>
      <w:pPr>
        <w:pStyle w:val="ListBullet"/>
      </w:pPr>
      <w:r>
        <w:rPr>
          <w:b/>
        </w:rPr>
        <w:t>Fund Category / Type:</w:t>
      </w:r>
      <w:r>
        <w:t xml:space="preserve"> An open-ended Equity Scheme predominantly investing in mid cap stocks.</w:t>
      </w:r>
    </w:p>
    <w:p>
      <w:pPr>
        <w:pStyle w:val="ListBullet"/>
      </w:pPr>
      <w:r>
        <w:rPr>
          <w:b/>
        </w:rPr>
        <w:t>Investment Objective:</w:t>
      </w:r>
      <w:r>
        <w:t xml:space="preserve"> To provide investors with opportunities for long-term growth in capital along with the liquidity of an open-ended scheme by investing predominantly in a well diversified basket of equity stocks of Midcap companies.</w:t>
      </w:r>
    </w:p>
    <w:p>
      <w:pPr>
        <w:pStyle w:val="ListBullet"/>
      </w:pPr>
      <w:r>
        <w:rPr>
          <w:b/>
        </w:rPr>
        <w:t>Month End AUM:</w:t>
      </w:r>
      <w:r>
        <w:t xml:space="preserve"> ₹23,308.22 Crores (as on December 31, 2025)</w:t>
      </w:r>
    </w:p>
    <w:p>
      <w:pPr>
        <w:pStyle w:val="ListBullet"/>
      </w:pPr>
      <w:r>
        <w:rPr>
          <w:b/>
        </w:rPr>
        <w:t>AAUM for the Month of December 2025:</w:t>
      </w:r>
      <w:r>
        <w:t xml:space="preserve"> ₹23,077.05 Crores</w:t>
      </w:r>
    </w:p>
    <w:p>
      <w:pPr>
        <w:pStyle w:val="ListBullet"/>
      </w:pPr>
      <w:r>
        <w:rPr>
          <w:b/>
        </w:rPr>
        <w:t>NAV:</w:t>
      </w:r>
    </w:p>
    <w:p>
      <w:pPr>
        <w:pStyle w:val="ListBullet"/>
      </w:pPr>
      <w:r>
        <w:t>Reg-Plan-IDCW: 96.4454</w:t>
      </w:r>
    </w:p>
    <w:p>
      <w:pPr>
        <w:pStyle w:val="ListBullet"/>
      </w:pPr>
      <w:r>
        <w:t>Reg-Plan-Growth: 236.0305</w:t>
      </w:r>
    </w:p>
    <w:p>
      <w:pPr>
        <w:pStyle w:val="ListBullet"/>
      </w:pPr>
      <w:r>
        <w:t>Dir-Plan-IDCW: 150.5479</w:t>
      </w:r>
    </w:p>
    <w:p>
      <w:pPr>
        <w:pStyle w:val="ListBullet"/>
      </w:pPr>
      <w:r>
        <w:t>Dir-Plan-Growth: 265.5397</w:t>
      </w:r>
    </w:p>
    <w:p>
      <w:pPr>
        <w:pStyle w:val="ListBullet"/>
      </w:pPr>
      <w:r>
        <w:rPr>
          <w:b/>
        </w:rPr>
        <w:t>Launch / Inception Date:</w:t>
      </w:r>
      <w:r>
        <w:t xml:space="preserve"> 29/03/2005</w:t>
      </w:r>
    </w:p>
    <w:p>
      <w:pPr>
        <w:pStyle w:val="ListBullet"/>
      </w:pPr>
      <w:r>
        <w:rPr>
          <w:b/>
        </w:rPr>
        <w:t>Exit Load:</w:t>
      </w:r>
    </w:p>
    <w:p>
      <w:r>
        <w:t>For exit within 30 days from the date of allotment - 0.25%</w:t>
      </w:r>
    </w:p>
    <w:p>
      <w:r>
        <w:t>For exit after 30 days and within 90 days from the date of allotment - 0.10%</w:t>
      </w:r>
    </w:p>
    <w:p>
      <w:r>
        <w:t>For exit after 90 days from the date of allotment - Nil</w:t>
      </w:r>
    </w:p>
    <w:p>
      <w:pPr>
        <w:pStyle w:val="ListBullet"/>
      </w:pPr>
      <w:r>
        <w:rPr>
          <w:b/>
        </w:rPr>
        <w:t>Expense Ratio:</w:t>
      </w:r>
      <w:r>
        <w:t xml:space="preserve"> Not available</w:t>
      </w:r>
    </w:p>
    <w:p>
      <w:pPr>
        <w:pStyle w:val="ListBullet"/>
      </w:pPr>
      <w:r>
        <w:rPr>
          <w:b/>
        </w:rPr>
        <w:t>Minimum Investment:</w:t>
      </w:r>
      <w:r>
        <w:t xml:space="preserve"> ₹5000 &amp; in multiples of ₹1</w:t>
      </w:r>
    </w:p>
    <w:p>
      <w:pPr>
        <w:pStyle w:val="ListBullet"/>
      </w:pPr>
      <w:r>
        <w:rPr>
          <w:b/>
        </w:rPr>
        <w:t>SIP:</w:t>
      </w:r>
    </w:p>
    <w:p>
      <w:pPr>
        <w:pStyle w:val="ListBullet"/>
      </w:pPr>
      <w:r>
        <w:t>Daily: Minimum ₹500 &amp; in multiples of ₹1 thereafter for a minimum of 12 instalments.</w:t>
      </w:r>
    </w:p>
    <w:p>
      <w:pPr>
        <w:pStyle w:val="ListBullet"/>
      </w:pPr>
      <w:r>
        <w:t>Weekly: Minimum ₹1000 &amp; in multiples of ₹1 thereafter for a minimum of 6 instalments.</w:t>
      </w:r>
    </w:p>
    <w:p>
      <w:pPr>
        <w:pStyle w:val="ListBullet"/>
      </w:pPr>
      <w:r>
        <w:t>Monthly: Minimum ₹1000 &amp; in multiples of ₹1 thereafter for minimum six months or minimum ₹500 &amp; in multiples of ₹1 thereafter for minimum one year.</w:t>
      </w:r>
    </w:p>
    <w:p>
      <w:pPr>
        <w:pStyle w:val="ListBullet"/>
      </w:pPr>
      <w:r>
        <w:t>Quarterly: Minimum ₹1500 &amp; in multiples of ₹1 thereafter for minimum one year.</w:t>
      </w:r>
    </w:p>
    <w:p>
      <w:pPr>
        <w:pStyle w:val="ListBullet"/>
      </w:pPr>
      <w:r>
        <w:t>Semi Annual: Minimum ₹3000 &amp; in multiples of ₹1 thereafter for a minimum of 4 installments.</w:t>
      </w:r>
    </w:p>
    <w:p>
      <w:pPr>
        <w:pStyle w:val="ListBullet"/>
      </w:pPr>
      <w:r>
        <w:t>Annual: Minimum ₹5000 &amp; in multiples of ₹1 thereafter for a minimum of 4 installments.</w:t>
      </w:r>
    </w:p>
    <w:p>
      <w:pPr>
        <w:pStyle w:val="ListBullet"/>
      </w:pPr>
      <w:r>
        <w:rPr>
          <w:b/>
        </w:rPr>
        <w:t>Lock-in Period:</w:t>
      </w:r>
      <w:r>
        <w:t xml:space="preserve"> Not available</w:t>
      </w:r>
    </w:p>
    <w:p>
      <w:pPr>
        <w:pStyle w:val="Heading2"/>
      </w:pPr>
      <w:r>
        <w:t>Quantitative Indicators</w:t>
      </w:r>
    </w:p>
    <w:p>
      <w:pPr>
        <w:pStyle w:val="ListBullet"/>
      </w:pPr>
      <w:r>
        <w:rPr>
          <w:b/>
        </w:rPr>
        <w:t>Standard Deviation:</w:t>
      </w:r>
      <w:r>
        <w:t xml:space="preserve"> 13.02%</w:t>
      </w:r>
    </w:p>
    <w:p>
      <w:pPr>
        <w:pStyle w:val="ListBullet"/>
      </w:pPr>
      <w:r>
        <w:rPr>
          <w:b/>
        </w:rPr>
        <w:t>Beta:</w:t>
      </w:r>
      <w:r>
        <w:t xml:space="preserve"> 0.78</w:t>
      </w:r>
    </w:p>
    <w:p>
      <w:pPr>
        <w:pStyle w:val="ListBullet"/>
      </w:pPr>
      <w:r>
        <w:rPr>
          <w:b/>
        </w:rPr>
        <w:t>Sharpe Ratio:</w:t>
      </w:r>
      <w:r>
        <w:t xml:space="preserve"> 0.88</w:t>
      </w:r>
    </w:p>
    <w:p>
      <w:pPr>
        <w:pStyle w:val="ListBullet"/>
      </w:pPr>
      <w:r>
        <w:rPr>
          <w:b/>
        </w:rPr>
        <w:t>Portfolio Turnover:</w:t>
      </w:r>
      <w:r>
        <w:t xml:space="preserve"> 0.67</w:t>
      </w:r>
    </w:p>
    <w:p>
      <w:pPr>
        <w:pStyle w:val="Heading2"/>
      </w:pPr>
      <w:r>
        <w:t>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t>Time Period</w:t>
            </w:r>
          </w:p>
        </w:tc>
        <w:tc>
          <w:tcPr>
            <w:tcW w:type="dxa" w:w="2160"/>
          </w:tcPr>
          <w:p>
            <w:r/>
            <w:r>
              <w:t>Fund (CAGR %)</w:t>
            </w:r>
          </w:p>
        </w:tc>
        <w:tc>
          <w:tcPr>
            <w:tcW w:type="dxa" w:w="2160"/>
          </w:tcPr>
          <w:p>
            <w:r/>
            <w:r>
              <w:t>Benchmark (CAGR %)</w:t>
            </w:r>
          </w:p>
        </w:tc>
        <w:tc>
          <w:tcPr>
            <w:tcW w:type="dxa" w:w="2160"/>
          </w:tcPr>
          <w:p>
            <w:r/>
            <w:r>
              <w:t>Additional Benchmark (CAGR %)</w:t>
            </w:r>
          </w:p>
        </w:tc>
      </w:tr>
      <w:tr>
        <w:tc>
          <w:tcPr>
            <w:tcW w:type="dxa" w:w="2160"/>
          </w:tcPr>
          <w:p>
            <w:r/>
            <w:r>
              <w:t>1 Year</w:t>
            </w:r>
          </w:p>
        </w:tc>
        <w:tc>
          <w:tcPr>
            <w:tcW w:type="dxa" w:w="2160"/>
          </w:tcPr>
          <w:p>
            <w:r/>
            <w:r>
              <w:t>1.20</w:t>
            </w:r>
          </w:p>
        </w:tc>
        <w:tc>
          <w:tcPr>
            <w:tcW w:type="dxa" w:w="2160"/>
          </w:tcPr>
          <w:p>
            <w:r/>
            <w:r>
              <w:t>10.58</w:t>
            </w:r>
          </w:p>
        </w:tc>
        <w:tc>
          <w:tcPr>
            <w:tcW w:type="dxa" w:w="2160"/>
          </w:tcPr>
          <w:p>
            <w:r/>
            <w:r>
              <w:t>10.38</w:t>
            </w:r>
          </w:p>
        </w:tc>
      </w:tr>
      <w:tr>
        <w:tc>
          <w:tcPr>
            <w:tcW w:type="dxa" w:w="2160"/>
          </w:tcPr>
          <w:p>
            <w:r/>
            <w:r>
              <w:t>3 Years</w:t>
            </w:r>
          </w:p>
        </w:tc>
        <w:tc>
          <w:tcPr>
            <w:tcW w:type="dxa" w:w="2160"/>
          </w:tcPr>
          <w:p>
            <w:r/>
            <w:r>
              <w:t>18.53</w:t>
            </w:r>
          </w:p>
        </w:tc>
        <w:tc>
          <w:tcPr>
            <w:tcW w:type="dxa" w:w="2160"/>
          </w:tcPr>
          <w:p>
            <w:r/>
            <w:r>
              <w:t>23.97</w:t>
            </w:r>
          </w:p>
        </w:tc>
        <w:tc>
          <w:tcPr>
            <w:tcW w:type="dxa" w:w="2160"/>
          </w:tcPr>
          <w:p>
            <w:r/>
            <w:r>
              <w:t>13.27</w:t>
            </w:r>
          </w:p>
        </w:tc>
      </w:tr>
      <w:tr>
        <w:tc>
          <w:tcPr>
            <w:tcW w:type="dxa" w:w="2160"/>
          </w:tcPr>
          <w:p>
            <w:r/>
            <w:r>
              <w:t>5 Years</w:t>
            </w:r>
          </w:p>
        </w:tc>
        <w:tc>
          <w:tcPr>
            <w:tcW w:type="dxa" w:w="2160"/>
          </w:tcPr>
          <w:p>
            <w:r/>
            <w:r>
              <w:t>21.62</w:t>
            </w:r>
          </w:p>
        </w:tc>
        <w:tc>
          <w:tcPr>
            <w:tcW w:type="dxa" w:w="2160"/>
          </w:tcPr>
          <w:p>
            <w:r/>
            <w:r>
              <w:t>19.75</w:t>
            </w:r>
          </w:p>
        </w:tc>
        <w:tc>
          <w:tcPr>
            <w:tcW w:type="dxa" w:w="2160"/>
          </w:tcPr>
          <w:p>
            <w:r/>
            <w:r>
              <w:t>13.64</w:t>
            </w:r>
          </w:p>
        </w:tc>
      </w:tr>
      <w:tr>
        <w:tc>
          <w:tcPr>
            <w:tcW w:type="dxa" w:w="2160"/>
          </w:tcPr>
          <w:p>
            <w:r/>
            <w:r>
              <w:t>Since Inception</w:t>
            </w:r>
          </w:p>
        </w:tc>
        <w:tc>
          <w:tcPr>
            <w:tcW w:type="dxa" w:w="2160"/>
          </w:tcPr>
          <w:p>
            <w:r/>
            <w:r>
              <w:t>18.94</w:t>
            </w:r>
          </w:p>
        </w:tc>
        <w:tc>
          <w:tcPr>
            <w:tcW w:type="dxa" w:w="2160"/>
          </w:tcPr>
          <w:p>
            <w:r/>
            <w:r>
              <w:t>20.14</w:t>
            </w:r>
          </w:p>
        </w:tc>
        <w:tc>
          <w:tcPr>
            <w:tcW w:type="dxa" w:w="2160"/>
          </w:tcPr>
          <w:p>
            <w:r/>
            <w:r>
              <w:t>13.43</w:t>
            </w:r>
          </w:p>
        </w:tc>
      </w:tr>
    </w:tbl>
    <w:p/>
    <w:p>
      <w:pPr>
        <w:pStyle w:val="Heading2"/>
      </w:pPr>
      <w:r>
        <w:t>Top 5 Stock 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t>Stock Name</w:t>
            </w:r>
          </w:p>
        </w:tc>
        <w:tc>
          <w:tcPr>
            <w:tcW w:type="dxa" w:w="2880"/>
          </w:tcPr>
          <w:p>
            <w:r/>
            <w:r>
              <w:t>Sector</w:t>
            </w:r>
          </w:p>
        </w:tc>
        <w:tc>
          <w:tcPr>
            <w:tcW w:type="dxa" w:w="2880"/>
          </w:tcPr>
          <w:p>
            <w:r/>
            <w:r>
              <w:t>% of Portfolio</w:t>
            </w:r>
          </w:p>
        </w:tc>
      </w:tr>
      <w:tr>
        <w:tc>
          <w:tcPr>
            <w:tcW w:type="dxa" w:w="2880"/>
          </w:tcPr>
          <w:p>
            <w:r/>
            <w:r>
              <w:t>Bharat Heavy Electricals Ltd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3.70</w:t>
            </w:r>
          </w:p>
        </w:tc>
      </w:tr>
      <w:tr>
        <w:tc>
          <w:tcPr>
            <w:tcW w:type="dxa" w:w="2880"/>
          </w:tcPr>
          <w:p>
            <w:r/>
            <w:r>
              <w:t>Torrent Power Ltd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3.64</w:t>
            </w:r>
          </w:p>
        </w:tc>
      </w:tr>
      <w:tr>
        <w:tc>
          <w:tcPr>
            <w:tcW w:type="dxa" w:w="2880"/>
          </w:tcPr>
          <w:p>
            <w:r/>
            <w:r>
              <w:t>Sundaram Finance Ltd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3.38</w:t>
            </w:r>
          </w:p>
        </w:tc>
      </w:tr>
      <w:tr>
        <w:tc>
          <w:tcPr>
            <w:tcW w:type="dxa" w:w="2880"/>
          </w:tcPr>
          <w:p>
            <w:r/>
            <w:r>
              <w:t>Mahindra &amp; Mahindra Financial Services Ltd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3.28</w:t>
            </w:r>
          </w:p>
        </w:tc>
      </w:tr>
      <w:tr>
        <w:tc>
          <w:tcPr>
            <w:tcW w:type="dxa" w:w="2880"/>
          </w:tcPr>
          <w:p>
            <w:r/>
            <w:r>
              <w:t>AIA Engineering Ltd</w:t>
            </w:r>
          </w:p>
        </w:tc>
        <w:tc>
          <w:tcPr>
            <w:tcW w:type="dxa" w:w="2880"/>
          </w:tcPr>
          <w:p>
            <w:r/>
            <w:r>
              <w:t>Not available</w:t>
            </w:r>
          </w:p>
        </w:tc>
        <w:tc>
          <w:tcPr>
            <w:tcW w:type="dxa" w:w="2880"/>
          </w:tcPr>
          <w:p>
            <w:r/>
            <w:r>
              <w:t>3.10</w:t>
            </w:r>
          </w:p>
        </w:tc>
      </w:tr>
    </w:tbl>
    <w:p/>
    <w:p>
      <w:pPr>
        <w:pStyle w:val="Heading2"/>
      </w:pPr>
      <w:r>
        <w:t>Top 5 Sector Holdings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t>Sector</w:t>
            </w:r>
          </w:p>
        </w:tc>
        <w:tc>
          <w:tcPr>
            <w:tcW w:type="dxa" w:w="4320"/>
          </w:tcPr>
          <w:p>
            <w:r/>
            <w:r>
              <w:t>% of Portfolio</w:t>
            </w:r>
          </w:p>
        </w:tc>
      </w:tr>
      <w:tr>
        <w:tc>
          <w:tcPr>
            <w:tcW w:type="dxa" w:w="4320"/>
          </w:tcPr>
          <w:p>
            <w:r/>
            <w:r>
              <w:t>Financial Services</w:t>
            </w:r>
          </w:p>
        </w:tc>
        <w:tc>
          <w:tcPr>
            <w:tcW w:type="dxa" w:w="4320"/>
          </w:tcPr>
          <w:p>
            <w:r/>
            <w:r>
              <w:t>27.08</w:t>
            </w:r>
          </w:p>
        </w:tc>
      </w:tr>
      <w:tr>
        <w:tc>
          <w:tcPr>
            <w:tcW w:type="dxa" w:w="4320"/>
          </w:tcPr>
          <w:p>
            <w:r/>
            <w:r>
              <w:t>Capital Goods</w:t>
            </w:r>
          </w:p>
        </w:tc>
        <w:tc>
          <w:tcPr>
            <w:tcW w:type="dxa" w:w="4320"/>
          </w:tcPr>
          <w:p>
            <w:r/>
            <w:r>
              <w:t>14.00</w:t>
            </w:r>
          </w:p>
        </w:tc>
      </w:tr>
      <w:tr>
        <w:tc>
          <w:tcPr>
            <w:tcW w:type="dxa" w:w="4320"/>
          </w:tcPr>
          <w:p>
            <w:r/>
            <w:r>
              <w:t>Automobile And Auto Components</w:t>
            </w:r>
          </w:p>
        </w:tc>
        <w:tc>
          <w:tcPr>
            <w:tcW w:type="dxa" w:w="4320"/>
          </w:tcPr>
          <w:p>
            <w:r/>
            <w:r>
              <w:t>8.32</w:t>
            </w:r>
          </w:p>
        </w:tc>
      </w:tr>
      <w:tr>
        <w:tc>
          <w:tcPr>
            <w:tcW w:type="dxa" w:w="4320"/>
          </w:tcPr>
          <w:p>
            <w:r/>
            <w:r>
              <w:t>Construction Materials</w:t>
            </w:r>
          </w:p>
        </w:tc>
        <w:tc>
          <w:tcPr>
            <w:tcW w:type="dxa" w:w="4320"/>
          </w:tcPr>
          <w:p>
            <w:r/>
            <w:r>
              <w:t>7.39</w:t>
            </w:r>
          </w:p>
        </w:tc>
      </w:tr>
      <w:tr>
        <w:tc>
          <w:tcPr>
            <w:tcW w:type="dxa" w:w="4320"/>
          </w:tcPr>
          <w:p>
            <w:r/>
            <w:r>
              <w:t>Healthcare</w:t>
            </w:r>
          </w:p>
        </w:tc>
        <w:tc>
          <w:tcPr>
            <w:tcW w:type="dxa" w:w="4320"/>
          </w:tcPr>
          <w:p>
            <w:r/>
            <w:r>
              <w:t>6.50</w:t>
            </w:r>
          </w:p>
        </w:tc>
      </w:tr>
    </w:tbl>
    <w:p/>
    <w:p>
      <w:pPr>
        <w:pStyle w:val="Heading2"/>
      </w:pPr>
      <w:r>
        <w:t>Group Exposure</w:t>
      </w:r>
    </w:p>
    <w:p>
      <w:r>
        <w:t>Not available</w:t>
      </w:r>
    </w:p>
    <w:p>
      <w:pPr>
        <w:pStyle w:val="Heading2"/>
      </w:pPr>
      <w:r>
        <w:t>Rating Profile</w:t>
      </w:r>
    </w:p>
    <w:p>
      <w:r>
        <w:t>Not applicable – equity fund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