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SBI Short Term Debt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First Tier Benchmark:</w:t>
      </w:r>
      <w:r>
        <w:t xml:space="preserve"> CRISIL Short Duration Debt A-II Index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Manager:</w:t>
      </w:r>
      <w:r>
        <w:t xml:space="preserve"> Ms. Mansi Sajeja</w:t>
      </w:r>
    </w:p>
    <w:p>
      <w:pPr>
        <w:pStyle w:val="ListBullet"/>
      </w:pPr>
      <w:r>
        <w:rPr>
          <w:b/>
        </w:rPr>
        <w:t>Managing Since:</w:t>
      </w:r>
      <w:r>
        <w:t xml:space="preserve"> Dec-2023</w:t>
      </w:r>
    </w:p>
    <w:p>
      <w:pPr>
        <w:pStyle w:val="ListBullet"/>
      </w:pPr>
      <w:r>
        <w:rPr>
          <w:b/>
        </w:rPr>
        <w:t>Fund Category / Type:</w:t>
      </w:r>
      <w:r>
        <w:t xml:space="preserve"> An open ended short-term debt scheme investing in instruments such that the Macaulay Duration of the portfolio is between 1 year and 3 years.</w:t>
      </w:r>
    </w:p>
    <w:p>
      <w:pPr>
        <w:pStyle w:val="ListBullet"/>
      </w:pPr>
      <w:r>
        <w:rPr>
          <w:b/>
        </w:rPr>
        <w:t>Investment Objective:</w:t>
      </w:r>
      <w:r>
        <w:t xml:space="preserve"> To provide investors an opportunity to generate regular income through investments in a portfolio comprising predominantly of debt instruments which are rated not below investment grade and money market instruments such that the Macaulay duration of the portfolio is between 1 year and 3 years.</w:t>
      </w:r>
    </w:p>
    <w:p>
      <w:pPr>
        <w:pStyle w:val="ListBullet"/>
      </w:pPr>
      <w:r>
        <w:rPr>
          <w:b/>
        </w:rPr>
        <w:t>AAUM for the Month of December 2025:</w:t>
      </w:r>
      <w:r>
        <w:t xml:space="preserve"> ₹17,671.79 Crores</w:t>
      </w:r>
    </w:p>
    <w:p>
      <w:pPr>
        <w:pStyle w:val="ListBullet"/>
      </w:pPr>
      <w:r>
        <w:rPr>
          <w:b/>
        </w:rPr>
        <w:t>AUM as on December 31, 2025:</w:t>
      </w:r>
      <w:r>
        <w:t xml:space="preserve"> ₹17,504.63 Crores</w:t>
      </w:r>
    </w:p>
    <w:p>
      <w:pPr>
        <w:pStyle w:val="ListBullet"/>
      </w:pPr>
      <w:r>
        <w:rPr>
          <w:b/>
        </w:rPr>
        <w:t>Date of Allotment:</w:t>
      </w:r>
      <w:r>
        <w:t xml:space="preserve"> 27/7/2007</w:t>
      </w:r>
    </w:p>
    <w:p>
      <w:pPr>
        <w:pStyle w:val="ListBullet"/>
      </w:pPr>
      <w:r>
        <w:rPr>
          <w:b/>
        </w:rPr>
        <w:t>Exit Load:</w:t>
      </w:r>
      <w:r>
        <w:t xml:space="preserve"> Nil</w:t>
      </w:r>
    </w:p>
    <w:p>
      <w:pPr>
        <w:pStyle w:val="ListBullet"/>
      </w:pPr>
      <w:r>
        <w:rPr>
          <w:b/>
        </w:rPr>
        <w:t>Plans Available:</w:t>
      </w:r>
      <w:r>
        <w:t xml:space="preserve"> Regular, Direct</w:t>
      </w:r>
    </w:p>
    <w:p>
      <w:pPr>
        <w:pStyle w:val="ListBullet"/>
      </w:pPr>
      <w:r>
        <w:rPr>
          <w:b/>
        </w:rPr>
        <w:t>Options:</w:t>
      </w:r>
      <w:r>
        <w:t xml:space="preserve"> Growth, IDCW</w:t>
      </w:r>
    </w:p>
    <w:p>
      <w:pPr>
        <w:pStyle w:val="ListBullet"/>
      </w:pPr>
      <w:r>
        <w:rPr>
          <w:b/>
        </w:rPr>
        <w:t>Minimum Investment:</w:t>
      </w:r>
      <w:r>
        <w:t xml:space="preserve"> ₹5,000 &amp; in multiples of ₹1</w:t>
      </w:r>
    </w:p>
    <w:p>
      <w:pPr>
        <w:pStyle w:val="ListBullet"/>
      </w:pPr>
      <w:r>
        <w:rPr>
          <w:b/>
        </w:rPr>
        <w:t>Additional Investment:</w:t>
      </w:r>
      <w:r>
        <w:t xml:space="preserve"> ₹1,000 &amp; in multiples of ₹1</w:t>
      </w:r>
    </w:p>
    <w:p>
      <w:pPr>
        <w:pStyle w:val="ListBullet"/>
      </w:pPr>
      <w:r>
        <w:rPr>
          <w:b/>
        </w:rPr>
        <w:t>SIP:</w:t>
      </w:r>
    </w:p>
    <w:p>
      <w:pPr>
        <w:pStyle w:val="ListBullet"/>
      </w:pPr>
      <w:r>
        <w:t>Daily: Minimum ₹500 &amp; in multiples of ₹1 thereafter for a minimum of 12 instalments.</w:t>
      </w:r>
    </w:p>
    <w:p>
      <w:pPr>
        <w:pStyle w:val="ListBullet"/>
      </w:pPr>
      <w:r>
        <w:t>Weekly: Minimum ₹1000 &amp; in multiples of ₹1 thereafter for a minimum of 6 instalments (or) Minimum ₹500 &amp; in multiples of ₹1 thereafter for a minimum of 12 instalments.</w:t>
      </w:r>
    </w:p>
    <w:p>
      <w:pPr>
        <w:pStyle w:val="ListBullet"/>
      </w:pPr>
      <w:r>
        <w:t>Monthly: Minimum ₹1000 &amp; in multiples of ₹1 thereafter for minimum six months (or) minimum ₹500 &amp; in multiples of ₹1 thereafter for minimum one year.</w:t>
      </w:r>
    </w:p>
    <w:p>
      <w:pPr>
        <w:pStyle w:val="ListBullet"/>
      </w:pPr>
      <w:r>
        <w:t>Quarterly: Minimum ₹1500 &amp; in multiples of ₹1 thereafter for minimum one year.</w:t>
      </w:r>
    </w:p>
    <w:p>
      <w:pPr>
        <w:pStyle w:val="ListBullet"/>
      </w:pPr>
      <w:r>
        <w:t>Semi Annual: Minimum ₹3000 &amp; in multiples of ₹1 thereafter for a minimum of 4 installments.</w:t>
      </w:r>
    </w:p>
    <w:p>
      <w:pPr>
        <w:pStyle w:val="ListBullet"/>
      </w:pPr>
      <w:r>
        <w:t>Annual: Minimum ₹5000 &amp; in multiples of ₹1 thereafter for a minimum of 4 installments.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Modified Duration:</w:t>
      </w:r>
      <w:r>
        <w:t xml:space="preserve"> 2.61</w:t>
      </w:r>
    </w:p>
    <w:p>
      <w:pPr>
        <w:pStyle w:val="ListBullet"/>
      </w:pPr>
      <w:r>
        <w:rPr>
          <w:b/>
        </w:rPr>
        <w:t>Average Maturity:</w:t>
      </w:r>
      <w:r>
        <w:t xml:space="preserve"> 3.22 years</w:t>
      </w:r>
    </w:p>
    <w:p>
      <w:pPr>
        <w:pStyle w:val="ListBullet"/>
      </w:pPr>
      <w:r>
        <w:rPr>
          <w:b/>
        </w:rPr>
        <w:t>Macaulay Duration:</w:t>
      </w:r>
      <w:r>
        <w:t xml:space="preserve"> 2.73 years</w:t>
      </w:r>
    </w:p>
    <w:p>
      <w:pPr>
        <w:pStyle w:val="ListBullet"/>
      </w:pPr>
      <w:r>
        <w:rPr>
          <w:b/>
        </w:rPr>
        <w:t>Yield to Maturity:</w:t>
      </w:r>
      <w:r>
        <w:t xml:space="preserve"> 7.12%</w:t>
      </w:r>
    </w:p>
    <w:p>
      <w:pPr>
        <w:pStyle w:val="Heading2"/>
      </w:pPr>
      <w:r>
        <w:t>Returns</w:t>
      </w:r>
    </w:p>
    <w:p>
      <w:r>
        <w:t>Not available</w:t>
      </w:r>
    </w:p>
    <w:p>
      <w:pPr>
        <w:pStyle w:val="Heading2"/>
      </w:pPr>
      <w:r>
        <w:t>Top 5 Stock Holdings</w:t>
      </w:r>
    </w:p>
    <w:p>
      <w:r>
        <w:t>Not available</w:t>
      </w:r>
    </w:p>
    <w:p>
      <w:pPr>
        <w:pStyle w:val="Heading2"/>
      </w:pPr>
      <w:r>
        <w:t>Top 5 Sector Holdings</w:t>
      </w:r>
    </w:p>
    <w:p>
      <w:r>
        <w:t>Not available</w:t>
      </w:r>
    </w:p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Rating Class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AAA and Equivalent</w:t>
            </w:r>
          </w:p>
        </w:tc>
        <w:tc>
          <w:tcPr>
            <w:tcW w:type="dxa" w:w="4320"/>
          </w:tcPr>
          <w:p>
            <w:r/>
            <w:r>
              <w:t>55.76</w:t>
            </w:r>
          </w:p>
        </w:tc>
      </w:tr>
      <w:tr>
        <w:tc>
          <w:tcPr>
            <w:tcW w:type="dxa" w:w="4320"/>
          </w:tcPr>
          <w:p>
            <w:r/>
            <w:r>
              <w:t>Sovereign</w:t>
            </w:r>
          </w:p>
        </w:tc>
        <w:tc>
          <w:tcPr>
            <w:tcW w:type="dxa" w:w="4320"/>
          </w:tcPr>
          <w:p>
            <w:r/>
            <w:r>
              <w:t>21.75</w:t>
            </w:r>
          </w:p>
        </w:tc>
      </w:tr>
      <w:tr>
        <w:tc>
          <w:tcPr>
            <w:tcW w:type="dxa" w:w="4320"/>
          </w:tcPr>
          <w:p>
            <w:r/>
            <w:r>
              <w:t>AA+</w:t>
            </w:r>
          </w:p>
        </w:tc>
        <w:tc>
          <w:tcPr>
            <w:tcW w:type="dxa" w:w="4320"/>
          </w:tcPr>
          <w:p>
            <w:r/>
            <w:r>
              <w:t>7.62</w:t>
            </w:r>
          </w:p>
        </w:tc>
      </w:tr>
      <w:tr>
        <w:tc>
          <w:tcPr>
            <w:tcW w:type="dxa" w:w="4320"/>
          </w:tcPr>
          <w:p>
            <w:r/>
            <w:r>
              <w:t>AA</w:t>
            </w:r>
          </w:p>
        </w:tc>
        <w:tc>
          <w:tcPr>
            <w:tcW w:type="dxa" w:w="4320"/>
          </w:tcPr>
          <w:p>
            <w:r/>
            <w:r>
              <w:t>5.91</w:t>
            </w:r>
          </w:p>
        </w:tc>
      </w:tr>
      <w:tr>
        <w:tc>
          <w:tcPr>
            <w:tcW w:type="dxa" w:w="4320"/>
          </w:tcPr>
          <w:p>
            <w:r/>
            <w:r>
              <w:t>A1+</w:t>
            </w:r>
          </w:p>
        </w:tc>
        <w:tc>
          <w:tcPr>
            <w:tcW w:type="dxa" w:w="4320"/>
          </w:tcPr>
          <w:p>
            <w:r/>
            <w:r>
              <w:t>4.74</w:t>
            </w:r>
          </w:p>
        </w:tc>
      </w:tr>
      <w:tr>
        <w:tc>
          <w:tcPr>
            <w:tcW w:type="dxa" w:w="4320"/>
          </w:tcPr>
          <w:p>
            <w:r/>
            <w:r>
              <w:t>Cash, Cash Equivalents, And Others</w:t>
            </w:r>
          </w:p>
        </w:tc>
        <w:tc>
          <w:tcPr>
            <w:tcW w:type="dxa" w:w="4320"/>
          </w:tcPr>
          <w:p>
            <w:r/>
            <w:r>
              <w:t>4.22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