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Sundaram Multi Cap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rPr>
          <w:b/>
        </w:rPr>
        <w:t>Benchmark (Tier I):</w:t>
      </w:r>
      <w:r>
        <w:t xml:space="preserve"> Nifty 500 Multicap 50:25:25 TRI</w:t>
      </w:r>
    </w:p>
    <w:p>
      <w:pPr>
        <w:pStyle w:val="ListBullet"/>
      </w:pPr>
      <w:r>
        <w:rPr>
          <w:b/>
        </w:rPr>
        <w:t>Additional Benchmark:</w:t>
      </w:r>
      <w:r>
        <w:t xml:space="preserve"> Nifty 50 TRI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Managers:</w:t>
      </w:r>
      <w:r>
        <w:t xml:space="preserve"> Bharath S, Shalav Saket (Overseas)</w:t>
      </w:r>
    </w:p>
    <w:p>
      <w:pPr>
        <w:pStyle w:val="ListBullet"/>
      </w:pPr>
      <w:r>
        <w:rPr>
          <w:b/>
        </w:rPr>
        <w:t>Fund category / type:</w:t>
      </w:r>
      <w:r>
        <w:t xml:space="preserve"> Multi Cap</w:t>
      </w:r>
    </w:p>
    <w:p>
      <w:pPr>
        <w:pStyle w:val="ListBullet"/>
      </w:pPr>
      <w:r>
        <w:rPr>
          <w:b/>
        </w:rPr>
        <w:t>Month End AUM:</w:t>
      </w:r>
      <w:r>
        <w:t xml:space="preserve"> INR 2,525 Cr.</w:t>
      </w:r>
    </w:p>
    <w:p>
      <w:pPr>
        <w:pStyle w:val="ListBullet"/>
      </w:pPr>
      <w:r>
        <w:rPr>
          <w:b/>
        </w:rPr>
        <w:t>Avg. AUM:</w:t>
      </w:r>
      <w:r>
        <w:t xml:space="preserve"> INR 2,653 Cr.</w:t>
      </w:r>
    </w:p>
    <w:p>
      <w:pPr>
        <w:pStyle w:val="ListBullet"/>
      </w:pPr>
      <w:r>
        <w:rPr>
          <w:b/>
        </w:rPr>
        <w:t>Inception Date:</w:t>
      </w:r>
      <w:r>
        <w:t xml:space="preserve"> Oct 25, 2000</w:t>
      </w:r>
    </w:p>
    <w:p>
      <w:pPr>
        <w:pStyle w:val="ListBullet"/>
      </w:pPr>
      <w:r>
        <w:rPr>
          <w:b/>
        </w:rPr>
        <w:t>Exit Load:</w:t>
      </w:r>
      <w:r>
        <w:t xml:space="preserve"> Upto 25%, within 365 days from the date of allotment: Nil. More than 25% within 365 days from the date of allotment: 1%. &gt;365 days: Nil</w:t>
      </w:r>
    </w:p>
    <w:p>
      <w:pPr>
        <w:pStyle w:val="ListBullet"/>
      </w:pPr>
      <w:r>
        <w:rPr>
          <w:b/>
        </w:rPr>
        <w:t>NAV (Regular):</w:t>
      </w:r>
      <w:r>
        <w:t xml:space="preserve"> Growth 333.92, IDCW 54.66</w:t>
      </w:r>
    </w:p>
    <w:p>
      <w:pPr>
        <w:pStyle w:val="ListBullet"/>
      </w:pPr>
      <w:r>
        <w:rPr>
          <w:b/>
        </w:rPr>
        <w:t>NAV (Direct):</w:t>
      </w:r>
      <w:r>
        <w:t xml:space="preserve"> Growth 374.51, IDCW 74.30</w:t>
      </w:r>
    </w:p>
    <w:p>
      <w:pPr>
        <w:pStyle w:val="ListBullet"/>
      </w:pPr>
      <w:r>
        <w:rPr>
          <w:b/>
        </w:rPr>
        <w:t>Expense Ratio (Regular):</w:t>
      </w:r>
      <w:r>
        <w:t xml:space="preserve"> 2</w:t>
      </w:r>
    </w:p>
    <w:p>
      <w:pPr>
        <w:pStyle w:val="ListBullet"/>
      </w:pPr>
      <w:r>
        <w:rPr>
          <w:b/>
        </w:rPr>
        <w:t>Expense Ratio (Direct):</w:t>
      </w:r>
      <w:r>
        <w:t xml:space="preserve"> 0.91</w:t>
      </w:r>
    </w:p>
    <w:p>
      <w:pPr>
        <w:pStyle w:val="ListBullet"/>
      </w:pPr>
      <w:r>
        <w:rPr>
          <w:b/>
        </w:rPr>
        <w:t>Minimum Investment:</w:t>
      </w:r>
      <w:r>
        <w:t xml:space="preserve"> INR 100/- &amp; Multiple of INR 1/-</w:t>
      </w:r>
    </w:p>
    <w:p>
      <w:pPr>
        <w:pStyle w:val="ListBullet"/>
      </w:pPr>
      <w:r>
        <w:rPr>
          <w:b/>
        </w:rPr>
        <w:t>SIP / STP / SWP:</w:t>
      </w:r>
      <w:r>
        <w:t xml:space="preserve"> Available</w:t>
      </w:r>
    </w:p>
    <w:p>
      <w:pPr>
        <w:pStyle w:val="ListBullet"/>
      </w:pPr>
      <w:r>
        <w:rPr>
          <w:b/>
        </w:rPr>
        <w:t>Investment Objective:</w:t>
      </w:r>
      <w:r>
        <w:t xml:space="preserve"> Not available</w:t>
      </w:r>
    </w:p>
    <w:p>
      <w:pPr>
        <w:pStyle w:val="ListBullet"/>
      </w:pPr>
      <w:r>
        <w:rPr>
          <w:b/>
        </w:rPr>
        <w:t>Lock-in period:</w:t>
      </w:r>
      <w:r>
        <w:t xml:space="preserve"> Not available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rPr>
          <w:b/>
        </w:rPr>
        <w:t>Weighted Avg. Market Cap:</w:t>
      </w:r>
      <w:r>
        <w:t xml:space="preserve"> INR 3,71,207 Cr.</w:t>
      </w:r>
    </w:p>
    <w:p>
      <w:pPr>
        <w:pStyle w:val="ListBullet"/>
      </w:pPr>
      <w:r>
        <w:rPr>
          <w:b/>
        </w:rPr>
        <w:t>Median Market Cap:</w:t>
      </w:r>
      <w:r>
        <w:t xml:space="preserve"> INR 55,405 Cr.</w:t>
      </w:r>
    </w:p>
    <w:p>
      <w:pPr>
        <w:pStyle w:val="ListBullet"/>
      </w:pPr>
      <w:r>
        <w:rPr>
          <w:b/>
        </w:rPr>
        <w:t>Standard Deviation:</w:t>
      </w:r>
      <w:r>
        <w:t xml:space="preserve"> 15.2</w:t>
      </w:r>
    </w:p>
    <w:p>
      <w:pPr>
        <w:pStyle w:val="ListBullet"/>
      </w:pPr>
      <w:r>
        <w:rPr>
          <w:b/>
        </w:rPr>
        <w:t>Beta:</w:t>
      </w:r>
      <w:r>
        <w:t xml:space="preserve"> 0.9</w:t>
      </w:r>
    </w:p>
    <w:p>
      <w:pPr>
        <w:pStyle w:val="ListBullet"/>
      </w:pPr>
      <w:r>
        <w:rPr>
          <w:b/>
        </w:rPr>
        <w:t>Information Ratio:</w:t>
      </w:r>
      <w:r>
        <w:t xml:space="preserve"> -0.6</w:t>
      </w:r>
    </w:p>
    <w:p>
      <w:pPr>
        <w:pStyle w:val="ListBullet"/>
      </w:pPr>
      <w:r>
        <w:rPr>
          <w:b/>
        </w:rPr>
        <w:t>Sharpe Ratio:</w:t>
      </w:r>
      <w:r>
        <w:t xml:space="preserve"> 0.4</w:t>
      </w:r>
    </w:p>
    <w:p>
      <w:pPr>
        <w:pStyle w:val="ListBullet"/>
      </w:pPr>
      <w:r>
        <w:rPr>
          <w:b/>
        </w:rPr>
        <w:t>Turnover Ratio:</w:t>
      </w:r>
      <w:r>
        <w:t xml:space="preserve"> 47.1</w:t>
      </w:r>
    </w:p>
    <w:p>
      <w:pPr>
        <w:pStyle w:val="Heading2"/>
      </w:pPr>
      <w:r>
        <w:t>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Period</w:t>
            </w:r>
          </w:p>
        </w:tc>
        <w:tc>
          <w:tcPr>
            <w:tcW w:type="dxa" w:w="2160"/>
          </w:tcPr>
          <w:p>
            <w:r/>
            <w:r>
              <w:t>Fund (%)</w:t>
            </w:r>
          </w:p>
        </w:tc>
        <w:tc>
          <w:tcPr>
            <w:tcW w:type="dxa" w:w="2160"/>
          </w:tcPr>
          <w:p>
            <w:r/>
            <w:r>
              <w:t>TIER I (%)</w:t>
            </w:r>
          </w:p>
        </w:tc>
        <w:tc>
          <w:tcPr>
            <w:tcW w:type="dxa" w:w="2160"/>
          </w:tcPr>
          <w:p>
            <w:r/>
            <w:r>
              <w:t>Additional Benchmark (%)</w:t>
            </w:r>
          </w:p>
        </w:tc>
      </w:tr>
      <w:tr>
        <w:tc>
          <w:tcPr>
            <w:tcW w:type="dxa" w:w="2160"/>
          </w:tcPr>
          <w:p>
            <w:r/>
            <w:r>
              <w:t>Last 1 year</w:t>
            </w:r>
          </w:p>
        </w:tc>
        <w:tc>
          <w:tcPr>
            <w:tcW w:type="dxa" w:w="2160"/>
          </w:tcPr>
          <w:p>
            <w:r/>
            <w:r>
              <w:t>-4.2</w:t>
            </w:r>
          </w:p>
        </w:tc>
        <w:tc>
          <w:tcPr>
            <w:tcW w:type="dxa" w:w="2160"/>
          </w:tcPr>
          <w:p>
            <w:r/>
            <w:r>
              <w:t>-2.5</w:t>
            </w:r>
          </w:p>
        </w:tc>
        <w:tc>
          <w:tcPr>
            <w:tcW w:type="dxa" w:w="2160"/>
          </w:tcPr>
          <w:p>
            <w:r/>
            <w:r>
              <w:t>-4.0</w:t>
            </w:r>
          </w:p>
        </w:tc>
      </w:tr>
      <w:tr>
        <w:tc>
          <w:tcPr>
            <w:tcW w:type="dxa" w:w="2160"/>
          </w:tcPr>
          <w:p>
            <w:r/>
            <w:r>
              <w:t>Last 3 years</w:t>
            </w:r>
          </w:p>
        </w:tc>
        <w:tc>
          <w:tcPr>
            <w:tcW w:type="dxa" w:w="2160"/>
          </w:tcPr>
          <w:p>
            <w:r/>
            <w:r>
              <w:t>13.6</w:t>
            </w:r>
          </w:p>
        </w:tc>
        <w:tc>
          <w:tcPr>
            <w:tcW w:type="dxa" w:w="2160"/>
          </w:tcPr>
          <w:p>
            <w:r/>
            <w:r>
              <w:t>15.4</w:t>
            </w:r>
          </w:p>
        </w:tc>
        <w:tc>
          <w:tcPr>
            <w:tcW w:type="dxa" w:w="2160"/>
          </w:tcPr>
          <w:p>
            <w:r/>
            <w:r>
              <w:t>10.0</w:t>
            </w:r>
          </w:p>
        </w:tc>
      </w:tr>
      <w:tr>
        <w:tc>
          <w:tcPr>
            <w:tcW w:type="dxa" w:w="2160"/>
          </w:tcPr>
          <w:p>
            <w:r/>
            <w:r>
              <w:t>Last 5 years</w:t>
            </w:r>
          </w:p>
        </w:tc>
        <w:tc>
          <w:tcPr>
            <w:tcW w:type="dxa" w:w="2160"/>
          </w:tcPr>
          <w:p>
            <w:r/>
            <w:r>
              <w:t>12.4</w:t>
            </w:r>
          </w:p>
        </w:tc>
        <w:tc>
          <w:tcPr>
            <w:tcW w:type="dxa" w:w="2160"/>
          </w:tcPr>
          <w:p>
            <w:r/>
            <w:r>
              <w:t>13.7</w:t>
            </w:r>
          </w:p>
        </w:tc>
        <w:tc>
          <w:tcPr>
            <w:tcW w:type="dxa" w:w="2160"/>
          </w:tcPr>
          <w:p>
            <w:r/>
            <w:r>
              <w:t>10.0</w:t>
            </w:r>
          </w:p>
        </w:tc>
      </w:tr>
      <w:tr>
        <w:tc>
          <w:tcPr>
            <w:tcW w:type="dxa" w:w="2160"/>
          </w:tcPr>
          <w:p>
            <w:r/>
            <w:r>
              <w:t>Last 10 years</w:t>
            </w:r>
          </w:p>
        </w:tc>
        <w:tc>
          <w:tcPr>
            <w:tcW w:type="dxa" w:w="2160"/>
          </w:tcPr>
          <w:p>
            <w:r/>
            <w:r>
              <w:t>13.4</w:t>
            </w:r>
          </w:p>
        </w:tc>
        <w:tc>
          <w:tcPr>
            <w:tcW w:type="dxa" w:w="2160"/>
          </w:tcPr>
          <w:p>
            <w:r/>
            <w:r>
              <w:t>14.5</w:t>
            </w:r>
          </w:p>
        </w:tc>
        <w:tc>
          <w:tcPr>
            <w:tcW w:type="dxa" w:w="2160"/>
          </w:tcPr>
          <w:p>
            <w:r/>
            <w:r>
              <w:t>12.5</w:t>
            </w:r>
          </w:p>
        </w:tc>
      </w:tr>
      <w:tr>
        <w:tc>
          <w:tcPr>
            <w:tcW w:type="dxa" w:w="2160"/>
          </w:tcPr>
          <w:p>
            <w:r/>
            <w:r>
              <w:t>Since Inception</w:t>
            </w:r>
          </w:p>
        </w:tc>
        <w:tc>
          <w:tcPr>
            <w:tcW w:type="dxa" w:w="2160"/>
          </w:tcPr>
          <w:p>
            <w:r/>
            <w:r>
              <w:t>14.5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13.7</w:t>
            </w:r>
          </w:p>
        </w:tc>
      </w:tr>
    </w:tbl>
    <w:p/>
    <w:p>
      <w:pPr>
        <w:pStyle w:val="Heading2"/>
      </w:pPr>
      <w:r>
        <w:t>Top 5 Stock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Stock Name</w:t>
            </w:r>
          </w:p>
        </w:tc>
        <w:tc>
          <w:tcPr>
            <w:tcW w:type="dxa" w:w="2880"/>
          </w:tcPr>
          <w:p>
            <w:r/>
            <w:r>
              <w:t>Sector</w:t>
            </w:r>
          </w:p>
        </w:tc>
        <w:tc>
          <w:tcPr>
            <w:tcW w:type="dxa" w:w="2880"/>
          </w:tcPr>
          <w:p>
            <w:r/>
            <w:r>
              <w:t>% of Portfolio</w:t>
            </w:r>
          </w:p>
        </w:tc>
      </w:tr>
      <w:tr>
        <w:tc>
          <w:tcPr>
            <w:tcW w:type="dxa" w:w="2880"/>
          </w:tcPr>
          <w:p>
            <w:r/>
            <w:r>
              <w:t>HDFC Bank Ltd</w:t>
            </w:r>
          </w:p>
        </w:tc>
        <w:tc>
          <w:tcPr>
            <w:tcW w:type="dxa" w:w="2880"/>
          </w:tcPr>
          <w:p>
            <w:r/>
            <w:r>
              <w:t>Banks</w:t>
            </w:r>
          </w:p>
        </w:tc>
        <w:tc>
          <w:tcPr>
            <w:tcW w:type="dxa" w:w="2880"/>
          </w:tcPr>
          <w:p>
            <w:r/>
            <w:r>
              <w:t>5.9</w:t>
            </w:r>
          </w:p>
        </w:tc>
      </w:tr>
      <w:tr>
        <w:tc>
          <w:tcPr>
            <w:tcW w:type="dxa" w:w="2880"/>
          </w:tcPr>
          <w:p>
            <w:r/>
            <w:r>
              <w:t>ICICI Bank Ltd</w:t>
            </w:r>
          </w:p>
        </w:tc>
        <w:tc>
          <w:tcPr>
            <w:tcW w:type="dxa" w:w="2880"/>
          </w:tcPr>
          <w:p>
            <w:r/>
            <w:r>
              <w:t>Banks</w:t>
            </w:r>
          </w:p>
        </w:tc>
        <w:tc>
          <w:tcPr>
            <w:tcW w:type="dxa" w:w="2880"/>
          </w:tcPr>
          <w:p>
            <w:r/>
            <w:r>
              <w:t>4.3</w:t>
            </w:r>
          </w:p>
        </w:tc>
      </w:tr>
      <w:tr>
        <w:tc>
          <w:tcPr>
            <w:tcW w:type="dxa" w:w="2880"/>
          </w:tcPr>
          <w:p>
            <w:r/>
            <w:r>
              <w:t>Reliance Industries Ltd</w:t>
            </w:r>
          </w:p>
        </w:tc>
        <w:tc>
          <w:tcPr>
            <w:tcW w:type="dxa" w:w="2880"/>
          </w:tcPr>
          <w:p>
            <w:r/>
            <w:r>
              <w:t>Petroleum Products</w:t>
            </w:r>
          </w:p>
        </w:tc>
        <w:tc>
          <w:tcPr>
            <w:tcW w:type="dxa" w:w="2880"/>
          </w:tcPr>
          <w:p>
            <w:r/>
            <w:r>
              <w:t>3.5</w:t>
            </w:r>
          </w:p>
        </w:tc>
      </w:tr>
      <w:tr>
        <w:tc>
          <w:tcPr>
            <w:tcW w:type="dxa" w:w="2880"/>
          </w:tcPr>
          <w:p>
            <w:r/>
            <w:r>
              <w:t>Larsen &amp; Toubro Ltd</w:t>
            </w:r>
          </w:p>
        </w:tc>
        <w:tc>
          <w:tcPr>
            <w:tcW w:type="dxa" w:w="2880"/>
          </w:tcPr>
          <w:p>
            <w:r/>
            <w:r>
              <w:t>Construction</w:t>
            </w:r>
          </w:p>
        </w:tc>
        <w:tc>
          <w:tcPr>
            <w:tcW w:type="dxa" w:w="2880"/>
          </w:tcPr>
          <w:p>
            <w:r/>
            <w:r>
              <w:t>3.6</w:t>
            </w:r>
          </w:p>
        </w:tc>
      </w:tr>
      <w:tr>
        <w:tc>
          <w:tcPr>
            <w:tcW w:type="dxa" w:w="2880"/>
          </w:tcPr>
          <w:p>
            <w:r/>
            <w:r>
              <w:t>Bharti Airtel Ltd</w:t>
            </w:r>
          </w:p>
        </w:tc>
        <w:tc>
          <w:tcPr>
            <w:tcW w:type="dxa" w:w="2880"/>
          </w:tcPr>
          <w:p>
            <w:r/>
            <w:r>
              <w:t>Telecom - Services</w:t>
            </w:r>
          </w:p>
        </w:tc>
        <w:tc>
          <w:tcPr>
            <w:tcW w:type="dxa" w:w="2880"/>
          </w:tcPr>
          <w:p>
            <w:r/>
            <w:r>
              <w:t>3.4</w:t>
            </w:r>
          </w:p>
        </w:tc>
      </w:tr>
    </w:tbl>
    <w:p/>
    <w:p>
      <w:pPr>
        <w:pStyle w:val="Heading2"/>
      </w:pPr>
      <w:r>
        <w:t>Top 5 Sector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Sector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Banks</w:t>
            </w:r>
          </w:p>
        </w:tc>
        <w:tc>
          <w:tcPr>
            <w:tcW w:type="dxa" w:w="4320"/>
          </w:tcPr>
          <w:p>
            <w:r/>
            <w:r>
              <w:t>18.5</w:t>
            </w:r>
          </w:p>
        </w:tc>
      </w:tr>
      <w:tr>
        <w:tc>
          <w:tcPr>
            <w:tcW w:type="dxa" w:w="4320"/>
          </w:tcPr>
          <w:p>
            <w:r/>
            <w:r>
              <w:t>Industrial Products</w:t>
            </w:r>
          </w:p>
        </w:tc>
        <w:tc>
          <w:tcPr>
            <w:tcW w:type="dxa" w:w="4320"/>
          </w:tcPr>
          <w:p>
            <w:r/>
            <w:r>
              <w:t>6.4</w:t>
            </w:r>
          </w:p>
        </w:tc>
      </w:tr>
      <w:tr>
        <w:tc>
          <w:tcPr>
            <w:tcW w:type="dxa" w:w="4320"/>
          </w:tcPr>
          <w:p>
            <w:r/>
            <w:r>
              <w:t>Petroleum Products</w:t>
            </w:r>
          </w:p>
        </w:tc>
        <w:tc>
          <w:tcPr>
            <w:tcW w:type="dxa" w:w="4320"/>
          </w:tcPr>
          <w:p>
            <w:r/>
            <w:r>
              <w:t>5.0</w:t>
            </w:r>
          </w:p>
        </w:tc>
      </w:tr>
      <w:tr>
        <w:tc>
          <w:tcPr>
            <w:tcW w:type="dxa" w:w="4320"/>
          </w:tcPr>
          <w:p>
            <w:r/>
            <w:r>
              <w:t>Auto Components</w:t>
            </w:r>
          </w:p>
        </w:tc>
        <w:tc>
          <w:tcPr>
            <w:tcW w:type="dxa" w:w="4320"/>
          </w:tcPr>
          <w:p>
            <w:r/>
            <w:r>
              <w:t>4.7</w:t>
            </w:r>
          </w:p>
        </w:tc>
      </w:tr>
      <w:tr>
        <w:tc>
          <w:tcPr>
            <w:tcW w:type="dxa" w:w="4320"/>
          </w:tcPr>
          <w:p>
            <w:r/>
            <w:r>
              <w:t>IT-Software</w:t>
            </w:r>
          </w:p>
        </w:tc>
        <w:tc>
          <w:tcPr>
            <w:tcW w:type="dxa" w:w="4320"/>
          </w:tcPr>
          <w:p>
            <w:r/>
            <w:r>
              <w:t>4.6</w:t>
            </w:r>
          </w:p>
        </w:tc>
      </w:tr>
    </w:tbl>
    <w:p/>
    <w:p>
      <w:pPr>
        <w:pStyle w:val="Heading2"/>
      </w:pPr>
      <w:r>
        <w:t>Group Exposure</w:t>
      </w:r>
    </w:p>
    <w:p>
      <w:r>
        <w:t>Not available</w:t>
      </w:r>
    </w:p>
    <w:p>
      <w:pPr>
        <w:pStyle w:val="Heading2"/>
      </w:pPr>
      <w:r>
        <w:t>Rating Profile</w:t>
      </w:r>
    </w:p>
    <w:p>
      <w:r>
        <w:t>Not applicable – equity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