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 Absolute Fund</w:t>
      </w:r>
    </w:p>
    <w:p>
      <w:pPr>
        <w:pStyle w:val="Heading2"/>
      </w:pPr>
      <w:r>
        <w:t>Benchmark Index</w:t>
      </w:r>
    </w:p>
    <w:p>
      <w:pPr>
        <w:pStyle w:val="ListBullet"/>
      </w:pPr>
      <w:r>
        <w:rPr>
          <w:b/>
        </w:rPr>
        <w:t>Benchmark Index:</w:t>
      </w:r>
      <w:r>
        <w:t xml:space="preserve"> NIFTY 50 Hybrid Composite Debt 65:35 Index</w:t>
      </w:r>
    </w:p>
    <w:p>
      <w:pPr>
        <w:pStyle w:val="Heading2"/>
      </w:pPr>
      <w:r>
        <w:t>Portfolio Details</w:t>
      </w:r>
    </w:p>
    <w:p>
      <w:pPr>
        <w:pStyle w:val="ListBullet"/>
      </w:pPr>
      <w:r>
        <w:rPr>
          <w:b/>
        </w:rPr>
        <w:t>Fund Manager(s):</w:t>
      </w:r>
      <w:r>
        <w:t xml:space="preserve"> Sandeep Tandon, Ankit Pande, Lokesh Garg, Varun Pattani, Ayusha Kumbhat, Sanjeev Sharma</w:t>
      </w:r>
    </w:p>
    <w:p>
      <w:pPr>
        <w:pStyle w:val="ListBullet"/>
      </w:pPr>
      <w:r>
        <w:rPr>
          <w:b/>
        </w:rPr>
        <w:t>Fund Category / Type:</w:t>
      </w:r>
      <w:r>
        <w:t xml:space="preserve"> An Aggressive Hybrid Fund</w:t>
      </w:r>
    </w:p>
    <w:p>
      <w:pPr>
        <w:pStyle w:val="ListBullet"/>
      </w:pPr>
      <w:r>
        <w:rPr>
          <w:b/>
        </w:rPr>
        <w:t>Investment Objective:</w:t>
      </w:r>
      <w:r>
        <w:t xml:space="preserve"> The investment objective of the scheme is to generate income/capital appreciation by investing primarily in equity and equity related instruments with a moderate exposure to debt securities &amp; money market instruments. There is no assurance that the investment objective of the Scheme will be realized.</w:t>
      </w:r>
    </w:p>
    <w:p>
      <w:pPr>
        <w:pStyle w:val="ListBullet"/>
      </w:pPr>
      <w:r>
        <w:rPr>
          <w:b/>
        </w:rPr>
        <w:t>Fund Size:</w:t>
      </w:r>
      <w:r>
        <w:t xml:space="preserve"> ₹1,893 cr</w:t>
      </w:r>
    </w:p>
    <w:p>
      <w:pPr>
        <w:pStyle w:val="ListBullet"/>
      </w:pPr>
      <w:r>
        <w:rPr>
          <w:b/>
        </w:rPr>
        <w:t>Inception Date:</w:t>
      </w:r>
      <w:r>
        <w:t xml:space="preserve"> 04 April 2001</w:t>
      </w:r>
    </w:p>
    <w:p>
      <w:pPr>
        <w:pStyle w:val="ListBullet"/>
      </w:pPr>
      <w:r>
        <w:rPr>
          <w:b/>
        </w:rPr>
        <w:t>Exit Load:</w:t>
      </w:r>
      <w:r>
        <w:t xml:space="preserve"> Entry: Nil | Exit: 1% for 15 days</w:t>
      </w:r>
    </w:p>
    <w:p>
      <w:pPr>
        <w:pStyle w:val="ListBullet"/>
      </w:pPr>
      <w:r>
        <w:rPr>
          <w:b/>
        </w:rPr>
        <w:t>Minimum Investment:</w:t>
      </w:r>
      <w:r>
        <w:t xml:space="preserve"> ₹5000 and multiple of Re. 1</w:t>
      </w:r>
    </w:p>
    <w:p>
      <w:pPr>
        <w:pStyle w:val="ListBullet"/>
      </w:pPr>
      <w:r>
        <w:rPr>
          <w:b/>
        </w:rPr>
        <w:t>Subsequent Investment:</w:t>
      </w:r>
      <w:r>
        <w:t xml:space="preserve"> ₹1000 and multiple of Re. 1</w:t>
      </w:r>
    </w:p>
    <w:p>
      <w:pPr>
        <w:pStyle w:val="ListBullet"/>
      </w:pPr>
      <w:r>
        <w:rPr>
          <w:b/>
        </w:rPr>
        <w:t>Expense Ratio:</w:t>
      </w:r>
      <w:r>
        <w:t xml:space="preserve"> Not available</w:t>
      </w:r>
    </w:p>
    <w:p>
      <w:pPr>
        <w:pStyle w:val="ListBullet"/>
      </w:pPr>
      <w:r>
        <w:rPr>
          <w:b/>
        </w:rPr>
        <w:t>Lock-in Period:</w:t>
      </w:r>
      <w:r>
        <w:t xml:space="preserve"> Not available</w:t>
      </w:r>
    </w:p>
    <w:p>
      <w:pPr>
        <w:pStyle w:val="Heading2"/>
      </w:pPr>
      <w:r>
        <w:t>Quantitative Indicators</w:t>
      </w:r>
    </w:p>
    <w:p>
      <w:pPr>
        <w:pStyle w:val="ListBullet"/>
      </w:pPr>
      <w:r>
        <w:rPr>
          <w:b/>
        </w:rPr>
        <w:t>Sharpe Ratio:</w:t>
      </w:r>
      <w:r>
        <w:t xml:space="preserve"> 1.04</w:t>
      </w:r>
    </w:p>
    <w:p>
      <w:pPr>
        <w:pStyle w:val="ListBullet"/>
      </w:pPr>
      <w:r>
        <w:rPr>
          <w:b/>
        </w:rPr>
        <w:t>Sortino Ratio:</w:t>
      </w:r>
      <w:r>
        <w:t xml:space="preserve"> 1.64</w:t>
      </w:r>
    </w:p>
    <w:p>
      <w:pPr>
        <w:pStyle w:val="ListBullet"/>
      </w:pPr>
      <w:r>
        <w:rPr>
          <w:b/>
        </w:rPr>
        <w:t>Jensen’s Alpha:</w:t>
      </w:r>
      <w:r>
        <w:t xml:space="preserve"> 10.81%</w:t>
      </w:r>
    </w:p>
    <w:p>
      <w:pPr>
        <w:pStyle w:val="ListBullet"/>
      </w:pPr>
      <w:r>
        <w:rPr>
          <w:b/>
        </w:rPr>
        <w:t>R-Squared:</w:t>
      </w:r>
      <w:r>
        <w:t xml:space="preserve"> 0.69</w:t>
      </w:r>
    </w:p>
    <w:p>
      <w:pPr>
        <w:pStyle w:val="ListBullet"/>
      </w:pPr>
      <w:r>
        <w:rPr>
          <w:b/>
        </w:rPr>
        <w:t>Downside Deviation:</w:t>
      </w:r>
      <w:r>
        <w:t xml:space="preserve"> 10.43%</w:t>
      </w:r>
    </w:p>
    <w:p>
      <w:pPr>
        <w:pStyle w:val="ListBullet"/>
      </w:pPr>
      <w:r>
        <w:rPr>
          <w:b/>
        </w:rPr>
        <w:t>Upside Deviation:</w:t>
      </w:r>
      <w:r>
        <w:t xml:space="preserve"> 13.59%</w:t>
      </w:r>
    </w:p>
    <w:p>
      <w:pPr>
        <w:pStyle w:val="ListBullet"/>
      </w:pPr>
      <w:r>
        <w:rPr>
          <w:b/>
        </w:rPr>
        <w:t>Downside Capture:</w:t>
      </w:r>
      <w:r>
        <w:t xml:space="preserve"> 1.12</w:t>
      </w:r>
    </w:p>
    <w:p>
      <w:pPr>
        <w:pStyle w:val="ListBullet"/>
      </w:pPr>
      <w:r>
        <w:rPr>
          <w:b/>
        </w:rPr>
        <w:t>Upside Capture:</w:t>
      </w:r>
      <w:r>
        <w:t xml:space="preserve"> 1.52</w:t>
      </w:r>
    </w:p>
    <w:p>
      <w:pPr>
        <w:pStyle w:val="Heading2"/>
      </w:pPr>
      <w:r>
        <w:t>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t>Period</w:t>
            </w:r>
          </w:p>
        </w:tc>
        <w:tc>
          <w:tcPr>
            <w:tcW w:type="dxa" w:w="1234"/>
          </w:tcPr>
          <w:p>
            <w:r/>
            <w:r>
              <w:t>Scheme Return (%)</w:t>
            </w:r>
          </w:p>
        </w:tc>
        <w:tc>
          <w:tcPr>
            <w:tcW w:type="dxa" w:w="1234"/>
          </w:tcPr>
          <w:p>
            <w:r/>
            <w:r>
              <w:t>Benchmark Return (%)</w:t>
            </w:r>
          </w:p>
        </w:tc>
        <w:tc>
          <w:tcPr>
            <w:tcW w:type="dxa" w:w="1234"/>
          </w:tcPr>
          <w:p>
            <w:r/>
            <w:r>
              <w:t>Nifty Return (%)</w:t>
            </w:r>
          </w:p>
        </w:tc>
        <w:tc>
          <w:tcPr>
            <w:tcW w:type="dxa" w:w="1234"/>
          </w:tcPr>
          <w:p>
            <w:r/>
            <w:r>
              <w:t>Value of ₹10,000 invested (Scheme)</w:t>
            </w:r>
          </w:p>
        </w:tc>
        <w:tc>
          <w:tcPr>
            <w:tcW w:type="dxa" w:w="1234"/>
          </w:tcPr>
          <w:p>
            <w:r/>
            <w:r>
              <w:t>Value of ₹10,000 invested (Benchmark)</w:t>
            </w:r>
          </w:p>
        </w:tc>
        <w:tc>
          <w:tcPr>
            <w:tcW w:type="dxa" w:w="1234"/>
          </w:tcPr>
          <w:p>
            <w:r/>
            <w:r>
              <w:t>Value of ₹10,000 invested (Nifty)</w:t>
            </w:r>
          </w:p>
        </w:tc>
      </w:tr>
      <w:tr>
        <w:tc>
          <w:tcPr>
            <w:tcW w:type="dxa" w:w="1234"/>
          </w:tcPr>
          <w:p>
            <w:r/>
            <w:r>
              <w:t>6 Month</w:t>
            </w:r>
          </w:p>
        </w:tc>
        <w:tc>
          <w:tcPr>
            <w:tcW w:type="dxa" w:w="1234"/>
          </w:tcPr>
          <w:p>
            <w:r/>
            <w:r>
              <w:t>-16.57</w:t>
            </w:r>
          </w:p>
        </w:tc>
        <w:tc>
          <w:tcPr>
            <w:tcW w:type="dxa" w:w="1234"/>
          </w:tcPr>
          <w:p>
            <w:r/>
            <w:r>
              <w:t>-6.78</w:t>
            </w:r>
          </w:p>
        </w:tc>
        <w:tc>
          <w:tcPr>
            <w:tcW w:type="dxa" w:w="1234"/>
          </w:tcPr>
          <w:p>
            <w:r/>
            <w:r>
              <w:t>-11.98</w:t>
            </w:r>
          </w:p>
        </w:tc>
        <w:tc>
          <w:tcPr>
            <w:tcW w:type="dxa" w:w="1234"/>
          </w:tcPr>
          <w:p>
            <w:r/>
            <w:r>
              <w:t>8,343</w:t>
            </w:r>
          </w:p>
        </w:tc>
        <w:tc>
          <w:tcPr>
            <w:tcW w:type="dxa" w:w="1234"/>
          </w:tcPr>
          <w:p>
            <w:r/>
            <w:r>
              <w:t>9,322</w:t>
            </w:r>
          </w:p>
        </w:tc>
        <w:tc>
          <w:tcPr>
            <w:tcW w:type="dxa" w:w="1234"/>
          </w:tcPr>
          <w:p>
            <w:r/>
            <w:r>
              <w:t>8,802</w:t>
            </w:r>
          </w:p>
        </w:tc>
      </w:tr>
      <w:tr>
        <w:tc>
          <w:tcPr>
            <w:tcW w:type="dxa" w:w="1234"/>
          </w:tcPr>
          <w:p>
            <w:r/>
            <w:r>
              <w:t>YTD</w:t>
            </w:r>
          </w:p>
        </w:tc>
        <w:tc>
          <w:tcPr>
            <w:tcW w:type="dxa" w:w="1234"/>
          </w:tcPr>
          <w:p>
            <w:r/>
            <w:r>
              <w:t>-8.57</w:t>
            </w:r>
          </w:p>
        </w:tc>
        <w:tc>
          <w:tcPr>
            <w:tcW w:type="dxa" w:w="1234"/>
          </w:tcPr>
          <w:p>
            <w:r/>
            <w:r>
              <w:t>-3.99</w:t>
            </w:r>
          </w:p>
        </w:tc>
        <w:tc>
          <w:tcPr>
            <w:tcW w:type="dxa" w:w="1234"/>
          </w:tcPr>
          <w:p>
            <w:r/>
            <w:r>
              <w:t>-6.60</w:t>
            </w:r>
          </w:p>
        </w:tc>
        <w:tc>
          <w:tcPr>
            <w:tcW w:type="dxa" w:w="1234"/>
          </w:tcPr>
          <w:p>
            <w:r/>
            <w:r>
              <w:t>9,143</w:t>
            </w:r>
          </w:p>
        </w:tc>
        <w:tc>
          <w:tcPr>
            <w:tcW w:type="dxa" w:w="1234"/>
          </w:tcPr>
          <w:p>
            <w:r/>
            <w:r>
              <w:t>9,601</w:t>
            </w:r>
          </w:p>
        </w:tc>
        <w:tc>
          <w:tcPr>
            <w:tcW w:type="dxa" w:w="1234"/>
          </w:tcPr>
          <w:p>
            <w:r/>
            <w:r>
              <w:t>9,340</w:t>
            </w:r>
          </w:p>
        </w:tc>
      </w:tr>
      <w:tr>
        <w:tc>
          <w:tcPr>
            <w:tcW w:type="dxa" w:w="1234"/>
          </w:tcPr>
          <w:p>
            <w:r/>
            <w:r>
              <w:t>1 Year</w:t>
            </w:r>
          </w:p>
        </w:tc>
        <w:tc>
          <w:tcPr>
            <w:tcW w:type="dxa" w:w="1234"/>
          </w:tcPr>
          <w:p>
            <w:r/>
            <w:r>
              <w:t>-6.59</w:t>
            </w:r>
          </w:p>
        </w:tc>
        <w:tc>
          <w:tcPr>
            <w:tcW w:type="dxa" w:w="1234"/>
          </w:tcPr>
          <w:p>
            <w:r/>
            <w:r>
              <w:t>4.07</w:t>
            </w:r>
          </w:p>
        </w:tc>
        <w:tc>
          <w:tcPr>
            <w:tcW w:type="dxa" w:w="1234"/>
          </w:tcPr>
          <w:p>
            <w:r/>
            <w:r>
              <w:t>1.89</w:t>
            </w:r>
          </w:p>
        </w:tc>
        <w:tc>
          <w:tcPr>
            <w:tcW w:type="dxa" w:w="1234"/>
          </w:tcPr>
          <w:p>
            <w:r/>
            <w:r>
              <w:t>9,341</w:t>
            </w:r>
          </w:p>
        </w:tc>
        <w:tc>
          <w:tcPr>
            <w:tcW w:type="dxa" w:w="1234"/>
          </w:tcPr>
          <w:p>
            <w:r/>
            <w:r>
              <w:t>10,407</w:t>
            </w:r>
          </w:p>
        </w:tc>
        <w:tc>
          <w:tcPr>
            <w:tcW w:type="dxa" w:w="1234"/>
          </w:tcPr>
          <w:p>
            <w:r/>
            <w:r>
              <w:t>10,189</w:t>
            </w:r>
          </w:p>
        </w:tc>
      </w:tr>
      <w:tr>
        <w:tc>
          <w:tcPr>
            <w:tcW w:type="dxa" w:w="1234"/>
          </w:tcPr>
          <w:p>
            <w:r/>
            <w:r>
              <w:t>3 Years</w:t>
            </w:r>
          </w:p>
        </w:tc>
        <w:tc>
          <w:tcPr>
            <w:tcW w:type="dxa" w:w="1234"/>
          </w:tcPr>
          <w:p>
            <w:r/>
            <w:r>
              <w:t>12.90</w:t>
            </w:r>
          </w:p>
        </w:tc>
        <w:tc>
          <w:tcPr>
            <w:tcW w:type="dxa" w:w="1234"/>
          </w:tcPr>
          <w:p>
            <w:r/>
            <w:r>
              <w:t>9.53</w:t>
            </w:r>
          </w:p>
        </w:tc>
        <w:tc>
          <w:tcPr>
            <w:tcW w:type="dxa" w:w="1234"/>
          </w:tcPr>
          <w:p>
            <w:r/>
            <w:r>
              <w:t>10.93</w:t>
            </w:r>
          </w:p>
        </w:tc>
        <w:tc>
          <w:tcPr>
            <w:tcW w:type="dxa" w:w="1234"/>
          </w:tcPr>
          <w:p>
            <w:r/>
            <w:r>
              <w:t>14,390</w:t>
            </w:r>
          </w:p>
        </w:tc>
        <w:tc>
          <w:tcPr>
            <w:tcW w:type="dxa" w:w="1234"/>
          </w:tcPr>
          <w:p>
            <w:r/>
            <w:r>
              <w:t>13,139</w:t>
            </w:r>
          </w:p>
        </w:tc>
        <w:tc>
          <w:tcPr>
            <w:tcW w:type="dxa" w:w="1234"/>
          </w:tcPr>
          <w:p>
            <w:r/>
            <w:r>
              <w:t>13,652</w:t>
            </w:r>
          </w:p>
        </w:tc>
      </w:tr>
      <w:tr>
        <w:tc>
          <w:tcPr>
            <w:tcW w:type="dxa" w:w="1234"/>
          </w:tcPr>
          <w:p>
            <w:r/>
            <w:r>
              <w:t>5 Years</w:t>
            </w:r>
          </w:p>
        </w:tc>
        <w:tc>
          <w:tcPr>
            <w:tcW w:type="dxa" w:w="1234"/>
          </w:tcPr>
          <w:p>
            <w:r/>
            <w:r>
              <w:t>23.53</w:t>
            </w:r>
          </w:p>
        </w:tc>
        <w:tc>
          <w:tcPr>
            <w:tcW w:type="dxa" w:w="1234"/>
          </w:tcPr>
          <w:p>
            <w:r/>
            <w:r>
              <w:t>13.18</w:t>
            </w:r>
          </w:p>
        </w:tc>
        <w:tc>
          <w:tcPr>
            <w:tcW w:type="dxa" w:w="1234"/>
          </w:tcPr>
          <w:p>
            <w:r/>
            <w:r>
              <w:t>15.96</w:t>
            </w:r>
          </w:p>
        </w:tc>
        <w:tc>
          <w:tcPr>
            <w:tcW w:type="dxa" w:w="1234"/>
          </w:tcPr>
          <w:p>
            <w:r/>
            <w:r>
              <w:t>28,765</w:t>
            </w:r>
          </w:p>
        </w:tc>
        <w:tc>
          <w:tcPr>
            <w:tcW w:type="dxa" w:w="1234"/>
          </w:tcPr>
          <w:p>
            <w:r/>
            <w:r>
              <w:t>18,568</w:t>
            </w:r>
          </w:p>
        </w:tc>
        <w:tc>
          <w:tcPr>
            <w:tcW w:type="dxa" w:w="1234"/>
          </w:tcPr>
          <w:p>
            <w:r/>
            <w:r>
              <w:t>20,966</w:t>
            </w:r>
          </w:p>
        </w:tc>
      </w:tr>
      <w:tr>
        <w:tc>
          <w:tcPr>
            <w:tcW w:type="dxa" w:w="1234"/>
          </w:tcPr>
          <w:p>
            <w:r/>
            <w:r>
              <w:t>SI*</w:t>
            </w:r>
          </w:p>
        </w:tc>
        <w:tc>
          <w:tcPr>
            <w:tcW w:type="dxa" w:w="1234"/>
          </w:tcPr>
          <w:p>
            <w:r/>
            <w:r>
              <w:t>16.62</w:t>
            </w:r>
          </w:p>
        </w:tc>
        <w:tc>
          <w:tcPr>
            <w:tcW w:type="dxa" w:w="1234"/>
          </w:tcPr>
          <w:p>
            <w:r/>
            <w:r>
              <w:t>N.A.</w:t>
            </w:r>
          </w:p>
        </w:tc>
        <w:tc>
          <w:tcPr>
            <w:tcW w:type="dxa" w:w="1234"/>
          </w:tcPr>
          <w:p>
            <w:r/>
            <w:r>
              <w:t>14.79</w:t>
            </w:r>
          </w:p>
        </w:tc>
        <w:tc>
          <w:tcPr>
            <w:tcW w:type="dxa" w:w="1234"/>
          </w:tcPr>
          <w:p>
            <w:r/>
            <w:r>
              <w:t>394,242</w:t>
            </w:r>
          </w:p>
        </w:tc>
        <w:tc>
          <w:tcPr>
            <w:tcW w:type="dxa" w:w="1234"/>
          </w:tcPr>
          <w:p>
            <w:r/>
            <w:r>
              <w:t>N.A.</w:t>
            </w:r>
          </w:p>
        </w:tc>
        <w:tc>
          <w:tcPr>
            <w:tcW w:type="dxa" w:w="1234"/>
          </w:tcPr>
          <w:p>
            <w:r/>
            <w:r>
              <w:t>270,324</w:t>
            </w:r>
          </w:p>
        </w:tc>
      </w:tr>
    </w:tbl>
    <w:p/>
    <w:p>
      <w:pPr>
        <w:pStyle w:val="Heading2"/>
      </w:pPr>
      <w:r>
        <w:t>Top 5 Stock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Stock Name</w:t>
            </w:r>
          </w:p>
        </w:tc>
        <w:tc>
          <w:tcPr>
            <w:tcW w:type="dxa" w:w="2880"/>
          </w:tcPr>
          <w:p>
            <w:r/>
            <w:r>
              <w:t>Sector</w:t>
            </w:r>
          </w:p>
        </w:tc>
        <w:tc>
          <w:tcPr>
            <w:tcW w:type="dxa" w:w="2880"/>
          </w:tcPr>
          <w:p>
            <w:r/>
            <w:r>
              <w:t>% of Portfolio</w:t>
            </w:r>
          </w:p>
        </w:tc>
      </w:tr>
      <w:tr>
        <w:tc>
          <w:tcPr>
            <w:tcW w:type="dxa" w:w="2880"/>
          </w:tcPr>
          <w:p>
            <w:r/>
            <w:r>
              <w:t>Reliance Industries Ltd.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10.08</w:t>
            </w:r>
          </w:p>
        </w:tc>
      </w:tr>
      <w:tr>
        <w:tc>
          <w:tcPr>
            <w:tcW w:type="dxa" w:w="2880"/>
          </w:tcPr>
          <w:p>
            <w:r/>
            <w:r>
              <w:t>ITC Ltd.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8.03</w:t>
            </w:r>
          </w:p>
        </w:tc>
      </w:tr>
      <w:tr>
        <w:tc>
          <w:tcPr>
            <w:tcW w:type="dxa" w:w="2880"/>
          </w:tcPr>
          <w:p>
            <w:r/>
            <w:r>
              <w:t>Larsen &amp; Toubro Ltd.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6.63</w:t>
            </w:r>
          </w:p>
        </w:tc>
      </w:tr>
      <w:tr>
        <w:tc>
          <w:tcPr>
            <w:tcW w:type="dxa" w:w="2880"/>
          </w:tcPr>
          <w:p>
            <w:r/>
            <w:r>
              <w:t>Life Insurance Corporation of India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5.82</w:t>
            </w:r>
          </w:p>
        </w:tc>
      </w:tr>
      <w:tr>
        <w:tc>
          <w:tcPr>
            <w:tcW w:type="dxa" w:w="2880"/>
          </w:tcPr>
          <w:p>
            <w:r/>
            <w:r>
              <w:t>Jio Financial Services Ltd.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5.74</w:t>
            </w:r>
          </w:p>
        </w:tc>
      </w:tr>
    </w:tbl>
    <w:p/>
    <w:p>
      <w:pPr>
        <w:pStyle w:val="Heading2"/>
      </w:pPr>
      <w:r>
        <w:t>Top 5 Sector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Sector</w:t>
            </w:r>
          </w:p>
        </w:tc>
        <w:tc>
          <w:tcPr>
            <w:tcW w:type="dxa" w:w="4320"/>
          </w:tcPr>
          <w:p>
            <w:r/>
            <w:r>
              <w:t>% of Portfolio</w:t>
            </w:r>
          </w:p>
        </w:tc>
      </w:tr>
      <w:tr>
        <w:tc>
          <w:tcPr>
            <w:tcW w:type="dxa" w:w="4320"/>
          </w:tcPr>
          <w:p>
            <w:r/>
            <w:r>
              <w:t>Not available</w:t>
            </w:r>
          </w:p>
        </w:tc>
        <w:tc>
          <w:tcPr>
            <w:tcW w:type="dxa" w:w="4320"/>
          </w:tcPr>
          <w:p>
            <w:r/>
            <w:r>
              <w:t>Not available</w:t>
            </w:r>
          </w:p>
        </w:tc>
      </w:tr>
    </w:tbl>
    <w:p/>
    <w:p>
      <w:pPr>
        <w:pStyle w:val="Heading2"/>
      </w:pPr>
      <w:r>
        <w:t>Group Exposure</w:t>
      </w:r>
    </w:p>
    <w:p>
      <w:r>
        <w:t>Not available</w:t>
      </w:r>
    </w:p>
    <w:p>
      <w:pPr>
        <w:pStyle w:val="Heading2"/>
      </w:pPr>
      <w:r>
        <w:t>Rating Profile</w:t>
      </w:r>
    </w:p>
    <w:p>
      <w:r>
        <w:t>Not applicable – equity fund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