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wrmpddxxa7ky" w:id="0"/>
    <w:bookmarkEnd w:id="0"/>
    <w:sdt>
      <w:sdtPr>
        <w:id w:val="1670842583"/>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ind w:left="0" w:firstLine="0"/>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bCs w:val="1"/>
                <w:color w:val="666666"/>
                <w:rtl w:val="0"/>
              </w:rPr>
              <w:t xml:space="preserve">Test Plan</w:t>
            </w:r>
          </w:hyperlink>
          <w:r w:rsidDel="00000000" w:rsidR="00000000" w:rsidRPr="00000000">
            <w:rPr>
              <w:b w:val="1"/>
              <w:bCs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bCs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ind w:left="0" w:firstLine="0"/>
            <w:rPr>
              <w:color w:val="666666"/>
            </w:rPr>
          </w:pPr>
          <w:r w:rsidDel="00000000" w:rsidR="00000000" w:rsidRPr="00000000">
            <w:rPr>
              <w:rtl w:val="0"/>
            </w:rPr>
          </w:r>
          <w:r w:rsidDel="00000000" w:rsidR="00000000" w:rsidRPr="00000000">
            <w:fldChar w:fldCharType="end"/>
          </w:r>
        </w:p>
      </w:sdtContent>
    </w:sdt>
    <w:p>
      <w:pPr>
        <w:pStyle w:val="Heading1"/>
      </w:pPr>
      <w:r>
        <w:rPr>
          <w:b/>
          <w:sz w:val="32"/>
        </w:rPr>
        <w:t>Test Plan - SD-1: User Login - User should be able to log in to the application using valid credentials</w:t>
      </w:r>
    </w:p>
    <w:p>
      <w:pPr>
        <w:pStyle w:val="Heading2"/>
      </w:pPr>
      <w:r>
        <w:t>Objective</w:t>
      </w:r>
    </w:p>
    <w:p>
      <w:r>
        <w:t>Verify that a registered user can successfully log in to the Sauce Demo application using valid credentials and that the login workflow behaves correctly for all defined scenarios. The goal is to ensure authentication, navigation, UI feedback, and handling of locked‑out accounts meet the acceptance criteria.</w:t>
      </w:r>
    </w:p>
    <w:p>
      <w:pPr>
        <w:pStyle w:val="Heading2"/>
      </w:pPr>
      <w:r>
        <w:t>Scope</w:t>
      </w:r>
    </w:p>
    <w:p>
      <w:r>
        <w:t>In scope: username and password entry, login button enablement, authentication processing, redirection to the inventory page, display of error messages for invalid credentials, and handling of locked‑out users. Out of scope: password recovery, multi‑factor authentication, user registration, and post‑login shopping actions.</w:t>
      </w:r>
    </w:p>
    <w:p>
      <w:pPr>
        <w:pStyle w:val="Heading2"/>
      </w:pPr>
      <w:r>
        <w:t>Inclusions</w:t>
      </w:r>
    </w:p>
    <w:p>
      <w:r>
        <w:t>Username input field Password input field Login button state (enabled/disabled) Authentication service response handling Redirection to inventory page upon success Error message display for invalid credentials Locked‑out user handling</w:t>
      </w:r>
    </w:p>
    <w:p>
      <w:pPr>
        <w:pStyle w:val="Heading2"/>
      </w:pPr>
      <w:r>
        <w:t>Test Environments</w:t>
      </w:r>
    </w:p>
    <w:p>
      <w:r>
        <w:t>Windows 10 – Chrome latest stable macOS Ventura – Safari latest stable Linux Ubuntu 22.04 – Firefox latest stable iOS 16 – Safari mobile Android 13 – Chrome mobile</w:t>
      </w:r>
    </w:p>
    <w:p>
      <w:pPr>
        <w:pStyle w:val="Heading2"/>
      </w:pPr>
      <w:r>
        <w:t>Defect Reporting Procedure</w:t>
      </w:r>
    </w:p>
    <w:p>
      <w:r>
        <w:t>Create a defect in the project’s issue tracker with the prefix LOG‑. Include steps to reproduce, expected vs actual result, environment details, screenshots of UI messages, and severity (Critical for authentication bypass, High for locked‑out handling errors, Medium for UI state issues). Notify the development lead via the tracker’s @mention feature.</w:t>
      </w:r>
    </w:p>
    <w:p>
      <w:pPr>
        <w:pStyle w:val="Heading2"/>
      </w:pPr>
      <w:r>
        <w:t>Test Strategy</w:t>
      </w:r>
    </w:p>
    <w:p>
      <w:r>
        <w:t>Apply black‑box functional testing using boundary value analysis for input fields and equivalence partitioning for credential states (valid, invalid, locked‑out). Execute positive, negative, and UI state tests in a single test cycle. Validate both functional behavior and UI feedback without code‑level inspection.</w:t>
      </w:r>
    </w:p>
    <w:p>
      <w:pPr>
        <w:pStyle w:val="Heading2"/>
      </w:pPr>
      <w:r>
        <w:t>Test Schedule</w:t>
      </w:r>
    </w:p>
    <w:p>
      <w:r>
        <w:t>Day 1: Test environment setup and smoke verification. Day 2‑3: Execute all test cases, log defects, and perform retests. Day 4: Regression sanity on login flow after defect fixes. Total effort: 4 calendar days.</w:t>
      </w:r>
    </w:p>
    <w:p>
      <w:pPr>
        <w:pStyle w:val="Heading2"/>
      </w:pPr>
      <w:r>
        <w:t>Test Deliverables</w:t>
      </w:r>
    </w:p>
    <w:p>
      <w:r>
        <w:t>Test case specification document (JSON format) Executed test log with pass/fail status per test case Defect report list with IDs and statuses Test summary report highlighting coverage and any open risks</w:t>
      </w:r>
    </w:p>
    <w:p>
      <w:pPr>
        <w:pStyle w:val="Heading2"/>
      </w:pPr>
      <w:r>
        <w:t>Entry and Exit Criteria</w:t>
      </w:r>
    </w:p>
    <w:p>
      <w:r>
        <w:t>Entry: Test environments configured, test data (valid, invalid, locked‑out credentials) prepared, and build with login feature deployed. Exit: All test cases executed with pass/fail status, no critical defects open, and test summary approved by QA lead.</w:t>
      </w:r>
    </w:p>
    <w:p>
      <w:pPr>
        <w:pStyle w:val="Heading2"/>
      </w:pPr>
      <w:r>
        <w:t>Risks and Mitigations</w:t>
      </w:r>
    </w:p>
    <w:p>
      <w:r>
        <w:t>Risk: Test data for locked‑out users may not be correctly configured | Mitigation: Pre‑populate the test database with a known locked‑out account and verify status via an admin query before testing. Risk: Browser‑specific rendering could hide the error message | Mitigation: Execute UI validation across all listed browsers and capture screenshots for each. Risk: Network latency causing delayed redirection may be misinterpreted as failure | Mitigation: Set an acceptable timeout threshold (e.g., 5 seconds) and include it in the expected result.</w:t>
      </w:r>
    </w:p>
    <w:p>
      <w:pPr>
        <w:pStyle w:val="Heading2"/>
      </w:pPr>
      <w:r>
        <w:t>Tools</w:t>
      </w:r>
    </w:p>
    <w:p>
      <w:r>
        <w:t>Jira for defect tracking Browser instances as listed in test_environments Test data management spreadsheet for credential sets Screen capture utility for UI evidence</w:t>
      </w:r>
    </w:p>
    <w:p>
      <w:pPr>
        <w:pStyle w:val="Heading2"/>
      </w:pPr>
      <w:r>
        <w:t>Test Cases</w:t>
      </w:r>
    </w:p>
    <w:tbl>
      <w:tblPr>
        <w:tblW w:type="auto" w:w="0"/>
        <w:tblLook w:firstColumn="1" w:firstRow="1" w:lastColumn="0" w:lastRow="0" w:noHBand="0" w:noVBand="1" w:val="04A0"/>
      </w:tblPr>
      <w:tblGrid>
        <w:gridCol w:w="2256"/>
        <w:gridCol w:w="2256"/>
        <w:gridCol w:w="2256"/>
        <w:gridCol w:w="2256"/>
      </w:tblGrid>
      <w:tr>
        <w:tc>
          <w:tcPr>
            <w:tcW w:type="dxa" w:w="2256"/>
          </w:tcPr>
          <w:p>
            <w:r>
              <w:t>Test ID</w:t>
            </w:r>
          </w:p>
        </w:tc>
        <w:tc>
          <w:tcPr>
            <w:tcW w:type="dxa" w:w="2256"/>
          </w:tcPr>
          <w:p>
            <w:r>
              <w:t>Test Case Title</w:t>
            </w:r>
          </w:p>
        </w:tc>
        <w:tc>
          <w:tcPr>
            <w:tcW w:type="dxa" w:w="2256"/>
          </w:tcPr>
          <w:p>
            <w:r>
              <w:t>Test Steps</w:t>
            </w:r>
          </w:p>
        </w:tc>
        <w:tc>
          <w:tcPr>
            <w:tcW w:type="dxa" w:w="2256"/>
          </w:tcPr>
          <w:p>
            <w:r>
              <w:t>Expected Result</w:t>
            </w:r>
          </w:p>
        </w:tc>
      </w:tr>
      <w:tr>
        <w:tc>
          <w:tcPr>
            <w:tcW w:type="dxa" w:w="2256"/>
          </w:tcPr>
          <w:p>
            <w:r>
              <w:t>TC-001</w:t>
            </w:r>
          </w:p>
        </w:tc>
        <w:tc>
          <w:tcPr>
            <w:tcW w:type="dxa" w:w="2256"/>
          </w:tcPr>
          <w:p>
            <w:r>
              <w:t>Successful login with valid credentials</w:t>
            </w:r>
          </w:p>
        </w:tc>
        <w:tc>
          <w:tcPr>
            <w:tcW w:type="dxa" w:w="2256"/>
          </w:tcPr>
          <w:p>
            <w:r>
              <w:t>1. Navigate to the Sauce Demo login page.</w:t>
              <w:br/>
              <w:t>2. Enter a known valid username.</w:t>
              <w:br/>
              <w:t>3. Enter the corresponding valid password.</w:t>
              <w:br/>
              <w:t>4. Verify the Login button becom</w:t>
            </w:r>
          </w:p>
        </w:tc>
        <w:tc>
          <w:tcPr>
            <w:tcW w:type="dxa" w:w="2256"/>
          </w:tcPr>
          <w:p>
            <w:r>
              <w:t>User is authenticated, the Login button remains enabled during processing, and the application redir</w:t>
            </w:r>
          </w:p>
        </w:tc>
      </w:tr>
      <w:tr>
        <w:tc>
          <w:tcPr>
            <w:tcW w:type="dxa" w:w="2256"/>
          </w:tcPr>
          <w:p>
            <w:r>
              <w:t>TC-002</w:t>
            </w:r>
          </w:p>
        </w:tc>
        <w:tc>
          <w:tcPr>
            <w:tcW w:type="dxa" w:w="2256"/>
          </w:tcPr>
          <w:p>
            <w:r>
              <w:t>Login button remains disabled when fields are empty</w:t>
            </w:r>
          </w:p>
        </w:tc>
        <w:tc>
          <w:tcPr>
            <w:tcW w:type="dxa" w:w="2256"/>
          </w:tcPr>
          <w:p>
            <w:r>
              <w:t>1. Open the Sauce Demo login page.</w:t>
              <w:br/>
              <w:t>2. Leave both username and password fields blank.</w:t>
              <w:br/>
              <w:t>3. Observe the state of the Login button.</w:t>
              <w:br/>
              <w:t>4. Enter a username onl</w:t>
            </w:r>
          </w:p>
        </w:tc>
        <w:tc>
          <w:tcPr>
            <w:tcW w:type="dxa" w:w="2256"/>
          </w:tcPr>
          <w:p>
            <w:r>
              <w:t>The Login button stays disabled in all three scenarios until both fields contain non‑empty values.</w:t>
            </w:r>
          </w:p>
        </w:tc>
      </w:tr>
      <w:tr>
        <w:tc>
          <w:tcPr>
            <w:tcW w:type="dxa" w:w="2256"/>
          </w:tcPr>
          <w:p>
            <w:r>
              <w:t>TC-003</w:t>
            </w:r>
          </w:p>
        </w:tc>
        <w:tc>
          <w:tcPr>
            <w:tcW w:type="dxa" w:w="2256"/>
          </w:tcPr>
          <w:p>
            <w:r>
              <w:t>Error message for invalid username/password combination</w:t>
            </w:r>
          </w:p>
        </w:tc>
        <w:tc>
          <w:tcPr>
            <w:tcW w:type="dxa" w:w="2256"/>
          </w:tcPr>
          <w:p>
            <w:r>
              <w:t>1. Open the login page.</w:t>
              <w:br/>
              <w:t>2. Input an incorrect username or password (e.g., valid username with wrong password).</w:t>
              <w:br/>
              <w:t xml:space="preserve">3. Ensure both fields are populated so </w:t>
            </w:r>
          </w:p>
        </w:tc>
        <w:tc>
          <w:tcPr>
            <w:tcW w:type="dxa" w:w="2256"/>
          </w:tcPr>
          <w:p>
            <w:r>
              <w:t>Authentication fails, and a clear error message such as "Username and password do not match any user</w:t>
            </w:r>
          </w:p>
        </w:tc>
      </w:tr>
      <w:tr>
        <w:tc>
          <w:tcPr>
            <w:tcW w:type="dxa" w:w="2256"/>
          </w:tcPr>
          <w:p>
            <w:r>
              <w:t>TC-004</w:t>
            </w:r>
          </w:p>
        </w:tc>
        <w:tc>
          <w:tcPr>
            <w:tcW w:type="dxa" w:w="2256"/>
          </w:tcPr>
          <w:p>
            <w:r>
              <w:t>Handling of a locked‑out user account</w:t>
            </w:r>
          </w:p>
        </w:tc>
        <w:tc>
          <w:tcPr>
            <w:tcW w:type="dxa" w:w="2256"/>
          </w:tcPr>
          <w:p>
            <w:r>
              <w:t>1. Navigate to the login page.</w:t>
              <w:br/>
              <w:t>2. Enter credentials of a user that is marked as locked‑out in the test data.</w:t>
              <w:br/>
              <w:t>3. Verify the Login button becomes enable</w:t>
            </w:r>
          </w:p>
        </w:tc>
        <w:tc>
          <w:tcPr>
            <w:tcW w:type="dxa" w:w="2256"/>
          </w:tcPr>
          <w:p>
            <w:r>
              <w:t xml:space="preserve">Authentication is denied and a specific locked‑out message (e.g., "Sorry, this user has been locked </w:t>
            </w:r>
          </w:p>
        </w:tc>
      </w:tr>
      <w:tr>
        <w:tc>
          <w:tcPr>
            <w:tcW w:type="dxa" w:w="2256"/>
          </w:tcPr>
          <w:p>
            <w:r>
              <w:t>TC-005</w:t>
            </w:r>
          </w:p>
        </w:tc>
        <w:tc>
          <w:tcPr>
            <w:tcW w:type="dxa" w:w="2256"/>
          </w:tcPr>
          <w:p>
            <w:r>
              <w:t>Password field masks input characters</w:t>
            </w:r>
          </w:p>
        </w:tc>
        <w:tc>
          <w:tcPr>
            <w:tcW w:type="dxa" w:w="2256"/>
          </w:tcPr>
          <w:p>
            <w:r>
              <w:t>1. Open the login page.</w:t>
              <w:br/>
              <w:t>2. Type a password into the password field.</w:t>
              <w:br/>
              <w:t>3. Observe the characters displayed.</w:t>
            </w:r>
          </w:p>
        </w:tc>
        <w:tc>
          <w:tcPr>
            <w:tcW w:type="dxa" w:w="2256"/>
          </w:tcPr>
          <w:p>
            <w:r>
              <w:t>Each typed character is masked (e.g., displayed as • or *), ensuring password confidentiality on the</w:t>
            </w:r>
          </w:p>
        </w:tc>
      </w:tr>
    </w:tbl>
    <w:sectPr>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