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TRO — Refined Project Proposal: Titles, Novelty Stress-Test, Metrics, Architecture, and Feasibility Review</w:t>
      </w:r>
    </w:p>
    <w:p>
      <w:pPr>
        <w:spacing w:after="120"/>
        <w:jc w:val="left"/>
      </w:pPr>
      <w:r>
        <w:t xml:space="preserve">This builds directly on </w:t>
      </w:r>
      <w:r>
        <w:rPr>
          <w:rFonts w:ascii="Courier New" w:cs="Courier New" w:eastAsia="Courier New" w:hAnsi="Courier New"/>
          <w:shd w:fill="F1F5F9" w:color="auto" w:val="clear"/>
        </w:rPr>
        <w:t xml:space="preserve">TRO_Comprehensive_Analysis.md</w:t>
      </w:r>
      <w:r>
        <w:t xml:space="preserve"> rather than redoing it — the paper-by-paper literature table, the MVP/Advanced/Exclude split, and the 16-week phase plan already live there and aren't repeated here. This document answers the structural questions that analysis didn't: polished titles, a plain-language pitch, a formal problem statement, a harder stress-test of the four novelty claims, a metrics framework with an honest measurability column, a real-world impact critique, an agent-by-agent architecture spec, restructured roadmaps, and a Mermaid diagram.</w:t>
      </w:r>
    </w:p>
    <w:p>
      <w:pPr>
        <w:spacing w:after="200"/>
      </w:pPr>
      <w:r>
        <w:t xml:space="preserve"> </w:t>
      </w:r>
    </w:p>
    <w:p>
      <w:pPr>
        <w:spacing w:after="120"/>
        <w:jc w:val="left"/>
      </w:pPr>
      <w:r>
        <w:t xml:space="preserve">One flag before diving in: the requested Section 8 agent list (Root Cause Analysis Agent, Automation Agent, SLA Monitoring Agent, etc.) is a generic helpdesk-AI template, not TRO's actual committed architecture. I've used it as a stress test — checking each suggested agent against what TRO already does — rather than importing it wholesale. Where a suggested agent doesn't belong in TRO's scope, I say so and why, instead of quietly padding the pipeline to match a checklist. The same logic applies to a couple of the requested metrics (Root Cause Identification Accuracy, most notably) in Section 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Refined Research Titles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7"/>
        <w:gridCol w:w="4338"/>
        <w:gridCol w:w="4565"/>
      </w:tblGrid>
      <w:tr>
        <w:trPr>
          <w:tblHeader/>
        </w:trPr>
        <w:tc>
          <w:p>
            <w:pPr>
              <w:jc w:val="left"/>
            </w:pPr>
            <w:r>
              <w:rPr>
                <w:b/>
                <w:bCs/>
              </w:rPr>
              <w:t xml:space="preserve">#</w:t>
            </w:r>
          </w:p>
        </w:tc>
        <w:tc>
          <w:p>
            <w:pPr>
              <w:jc w:val="left"/>
            </w:pPr>
            <w:r>
              <w:rPr>
                <w:b/>
                <w:bCs/>
              </w:rPr>
              <w:t xml:space="preserve">Title</w:t>
            </w:r>
          </w:p>
        </w:tc>
        <w:tc>
          <w:p>
            <w:pPr>
              <w:jc w:val="left"/>
            </w:pPr>
            <w:r>
              <w:rPr>
                <w:b/>
                <w:bCs/>
              </w:rPr>
              <w:t xml:space="preserve">Why It's Stronger</w:t>
            </w:r>
          </w:p>
        </w:tc>
      </w:tr>
      <w:tr>
        <w:tc>
          <w:p>
            <w:pPr>
              <w:jc w:val="left"/>
            </w:pPr>
            <w:r>
              <w:t xml:space="preserve">1</w:t>
            </w:r>
          </w:p>
        </w:tc>
        <w:tc>
          <w:p>
            <w:pPr>
              <w:jc w:val="left"/>
            </w:pPr>
            <w:r>
              <w:rPr>
                <w:b/>
                <w:bCs/>
              </w:rPr>
              <w:t xml:space="preserve">Pre-Submission Ticket Readiness Orchestration: A Confidence-Gated Multi-Agent Architecture for Intake Clarification, Knowledge Deflection, and Temporal Incident Correlation in IT Service Management</w:t>
            </w:r>
          </w:p>
        </w:tc>
        <w:tc>
          <w:p>
            <w:pPr>
              <w:jc w:val="left"/>
            </w:pPr>
            <w:r>
              <w:t xml:space="preserve">Puts "pre-submission" — the exact phrase anchoring the patent's claim boundary — in the title itself, not buried in a subtitle. Names all three load-bearing mechanisms explicitly instead of folding them into vaguer phrases like "adaptive intake." Swaps "Framework" for "Architecture," closer to how ASE/FSE-track systems papers title themselves.</w:t>
            </w:r>
          </w:p>
        </w:tc>
      </w:tr>
      <w:tr>
        <w:tc>
          <w:p>
            <w:pPr>
              <w:jc w:val="left"/>
            </w:pPr>
            <w:r>
              <w:t xml:space="preserve">2</w:t>
            </w:r>
          </w:p>
        </w:tc>
        <w:tc>
          <w:p>
            <w:pPr>
              <w:jc w:val="left"/>
            </w:pPr>
            <w:r>
              <w:rPr>
                <w:b/>
                <w:bCs/>
              </w:rPr>
              <w:t xml:space="preserve">Gating Before Ticketing: Completeness- and Confidence-Gated Multi-Agent Orchestration for Pre-Submission IT Service Desk Automation</w:t>
            </w:r>
          </w:p>
        </w:tc>
        <w:tc>
          <w:p>
            <w:pPr>
              <w:jc w:val="left"/>
            </w:pPr>
            <w:r>
              <w:t xml:space="preserve">Leads with the mechanism the paper actually defends — gates, not agent count (see Section 4) — rather than the pipeline shape. The "X Before Y" construction is a memorable, reviewer-friendly hook.</w:t>
            </w:r>
          </w:p>
        </w:tc>
      </w:tr>
      <w:tr>
        <w:tc>
          <w:p>
            <w:pPr>
              <w:jc w:val="left"/>
            </w:pPr>
            <w:r>
              <w:t xml:space="preserve">3</w:t>
            </w:r>
          </w:p>
        </w:tc>
        <w:tc>
          <w:p>
            <w:pPr>
              <w:jc w:val="left"/>
            </w:pPr>
            <w:r>
              <w:rPr>
                <w:b/>
                <w:bCs/>
              </w:rPr>
              <w:t xml:space="preserve">Beyond Reactive Ticketing: A Multi-Agent System for Self-Resolution, Incident Correlation, and Explainable Routing Before Ticket Creation</w:t>
            </w:r>
          </w:p>
        </w:tc>
        <w:tc>
          <w:p>
            <w:pPr>
              <w:jc w:val="left"/>
            </w:pPr>
            <w:r>
              <w:t xml:space="preserve">Names what every reviewed baseline has in common — reactivity — turning the entire related-work gap into the title itself. Sets up an introduction built around the taxonomy sentence already recommended in the existing analysis.</w:t>
            </w:r>
          </w:p>
        </w:tc>
      </w:tr>
      <w:tr>
        <w:tc>
          <w:p>
            <w:pPr>
              <w:jc w:val="left"/>
            </w:pPr>
            <w:r>
              <w:t xml:space="preserve">4</w:t>
            </w:r>
          </w:p>
        </w:tc>
        <w:tc>
          <w:p>
            <w:pPr>
              <w:jc w:val="left"/>
            </w:pPr>
            <w:r>
              <w:rPr>
                <w:b/>
                <w:bCs/>
              </w:rPr>
              <w:t xml:space="preserve">TRO: Ticket Readiness Orchestration for Pre-Submission Deflection, Correlation, and Explainable Dispatch in IT Service Desks</w:t>
            </w:r>
          </w:p>
        </w:tc>
        <w:tc>
          <w:p>
            <w:pPr>
              <w:jc w:val="left"/>
            </w:pPr>
            <w:r>
              <w:t xml:space="preserve">Leads with the working brand/acronym, common in applied-systems papers and consistent with how the team already refers to the project internally and in the patent work. Tighter rhythm than the current five-gerund subtitle.</w:t>
            </w:r>
          </w:p>
        </w:tc>
      </w:tr>
      <w:tr>
        <w:tc>
          <w:p>
            <w:pPr>
              <w:jc w:val="left"/>
            </w:pPr>
            <w:r>
              <w:t xml:space="preserve">5</w:t>
            </w:r>
          </w:p>
        </w:tc>
        <w:tc>
          <w:p>
            <w:pPr>
              <w:jc w:val="left"/>
            </w:pPr>
            <w:r>
              <w:rPr>
                <w:b/>
                <w:bCs/>
              </w:rPr>
              <w:t xml:space="preserve">From Vague Request to Routed Ticket: An Agentic, Confidence-Gated Pipeline for Adaptive Clarification, Knowledge Deflection, and Incident Correlation at Intake</w:t>
            </w:r>
          </w:p>
        </w:tc>
        <w:tc>
          <w:p>
            <w:pPr>
              <w:jc w:val="left"/>
            </w:pPr>
            <w:r>
              <w:t xml:space="preserve">The "before → after" framing makes the vague-input-to-structured-output contribution legible before a reader hits the abstract.</w:t>
            </w:r>
          </w:p>
        </w:tc>
      </w:tr>
      <w:tr>
        <w:tc>
          <w:p>
            <w:pPr>
              <w:jc w:val="left"/>
            </w:pPr>
            <w:r>
              <w:t xml:space="preserve">6</w:t>
            </w:r>
          </w:p>
        </w:tc>
        <w:tc>
          <w:p>
            <w:pPr>
              <w:jc w:val="left"/>
            </w:pPr>
            <w:r>
              <w:rPr>
                <w:b/>
                <w:bCs/>
              </w:rPr>
              <w:t xml:space="preserve">Agentic Pre-Triage for IT Service Desks: Confidence-Gated Clarification, Deflection, and Correlation Before Ticket Creation</w:t>
            </w:r>
          </w:p>
        </w:tc>
        <w:tc>
          <w:p>
            <w:pPr>
              <w:jc w:val="left"/>
            </w:pPr>
            <w:r>
              <w:t xml:space="preserve">Borrows "triage," a term ITSM and clinical-adjacent reviewers already recognize as the human judgment being partially automated — likely to land faster with a mixed academic/industry panel than a coined phrase with no existing recognition.</w:t>
            </w:r>
          </w:p>
        </w:tc>
      </w:tr>
    </w:tbl>
    <w:p>
      <w:pPr>
        <w:spacing w:before="240"/>
      </w:pPr>
      <w:r>
        <w:t xml:space="preserve"> </w:t>
      </w:r>
    </w:p>
    <w:p>
      <w:pPr>
        <w:spacing w:after="120"/>
        <w:jc w:val="left"/>
      </w:pPr>
      <w:r>
        <w:rPr>
          <w:b/>
          <w:bCs/>
        </w:rPr>
        <w:t xml:space="preserve">Recommendation:</w:t>
      </w:r>
      <w:r>
        <w:t xml:space="preserve"> #1 for the actual submission — it keeps "pre-submission" front and center, which matters for both the paper and the patent. #3 is the strongest second choice if the introduction is built around "every existing system is reactive."</w:t>
      </w:r>
    </w:p>
    <w:p>
      <w:pPr>
        <w:spacing w:after="200"/>
      </w:pPr>
      <w:r>
        <w:t xml:space="preserve"> </w:t>
      </w:r>
    </w:p>
    <w:p>
      <w:pPr>
        <w:spacing w:after="120"/>
        <w:jc w:val="left"/>
      </w:pPr>
      <w:r>
        <w:t xml:space="preserve">Small but real note: the patent title and the paper title don't need to match. What the IPR &amp; Technology Transfer Cell actually files is claim language, not a title — a punchier, more citation-friendly paper title is completely normal and creates no conflict, as long as "pre-submission" (or an equivalent claim-preserving phrase) still appears prominently somewhere in the paper, which all six options above satisfy.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Core Objective, in Plain Language</w:t>
      </w:r>
    </w:p>
    <w:p>
      <w:pPr>
        <w:spacing w:after="120"/>
        <w:jc w:val="left"/>
      </w:pPr>
      <w:r>
        <w:rPr>
          <w:b/>
          <w:bCs/>
        </w:rPr>
        <w:t xml:space="preserve">For a non-technical manager:</w:t>
      </w:r>
      <w:r>
        <w:t xml:space="preserve"> Right now, every ticket your service desk handles gets created first, and only afterward does anyone — human or AI — check whether it was actually complete, whether the user could have fixed it themselves, or whether four other people just reported the same outage. That means wasted analyst time chasing missing details, tickets for problems already answered in your own documentation, and duplicate effort on what's really one incident. TRO tries to catch all three of those </w:t>
      </w:r>
      <w:r>
        <w:rPr>
          <w:i/>
          <w:iCs/>
        </w:rPr>
        <w:t xml:space="preserve">before</w:t>
      </w:r>
      <w:r>
        <w:t xml:space="preserve"> a ticket is even created, so what lands in the queue is already clear, already checked against your knowledge base, and already flagged if it's part of something bigger.</w:t>
      </w:r>
    </w:p>
    <w:p>
      <w:pPr>
        <w:spacing w:after="200"/>
      </w:pPr>
      <w:r>
        <w:t xml:space="preserve"> </w:t>
      </w:r>
    </w:p>
    <w:p>
      <w:pPr>
        <w:spacing w:after="120"/>
        <w:jc w:val="left"/>
      </w:pPr>
      <w:r>
        <w:rPr>
          <w:b/>
          <w:bCs/>
        </w:rPr>
        <w:t xml:space="preserve">For a helpdesk employee:</w:t>
      </w:r>
      <w:r>
        <w:t xml:space="preserve"> You know the tickets that make you sigh — "my thing is broken," no details, and you have to go back and forth just to find out what "thing" means. Or the ticket whose answer was sitting in the KB the whole time. Or the fifth "VPN is down" ticket in an hour that's really one outage wearing five different names. TRO has that back-and-forth with the user before any of it reaches you — asking the one question that actually matters, checking the KB itself, noticing when tickets are related — so what you get is already usable, and it tells you </w:t>
      </w:r>
      <w:r>
        <w:rPr>
          <w:i/>
          <w:iCs/>
        </w:rPr>
        <w:t xml:space="preserve">why</w:t>
      </w:r>
      <w:r>
        <w:t xml:space="preserve"> it landed with you instead of just that it did.</w:t>
      </w:r>
    </w:p>
    <w:p>
      <w:pPr>
        <w:spacing w:after="200"/>
      </w:pPr>
      <w:r>
        <w:t xml:space="preserve"> </w:t>
      </w:r>
    </w:p>
    <w:p>
      <w:pPr>
        <w:spacing w:after="120"/>
        <w:jc w:val="left"/>
      </w:pPr>
      <w:r>
        <w:rPr>
          <w:b/>
          <w:bCs/>
        </w:rPr>
        <w:t xml:space="preserve">For a final-year student (a peer, not a customer):</w:t>
      </w:r>
      <w:r>
        <w:t xml:space="preserve"> Every ticket-automation paper in the literature review assumes a ticket record already exists, and asks how to classify, route, or resolve it well. TRO's bet is that the more interesting — and more valuable — problem sits one stage earlier: deciding, from a raw message, whether a ticket needs to exist at all, and if so, making sure it's created complete, non-duplicate, and explainably routed the first time. That slot is confirmed empty across all twelve reviewed papers. It's not an incremental accuracy bump on an already-solved task.</w:t>
      </w:r>
    </w:p>
    <w:p>
      <w:pPr>
        <w:spacing w:after="200"/>
      </w:pPr>
      <w:r>
        <w:t xml:space="preserve"> </w:t>
      </w:r>
    </w:p>
    <w:p>
      <w:pPr>
        <w:pStyle w:val="ListParagraph"/>
        <w:numPr>
          <w:ilvl w:val="0"/>
          <w:numId w:val="2"/>
        </w:numPr>
        <w:spacing w:after="100"/>
        <w:ind w:start="240"/>
        <w:jc w:val="left"/>
      </w:pPr>
      <w:r>
        <w:rPr>
          <w:b/>
          <w:bCs/>
        </w:rPr>
        <w:t xml:space="preserve">Why existing systems fail:</w:t>
      </w:r>
      <w:r>
        <w:t xml:space="preserve"> they're built to process a ticket, not to decide whether or how one should exist. Vagueness, duplication, and self-resolvable issues aren't their problem to solve, so nothing in their design solves them.</w:t>
      </w:r>
    </w:p>
    <w:p>
      <w:pPr>
        <w:pStyle w:val="ListParagraph"/>
        <w:numPr>
          <w:ilvl w:val="0"/>
          <w:numId w:val="2"/>
        </w:numPr>
        <w:spacing w:after="100"/>
        <w:ind w:start="240"/>
        <w:jc w:val="left"/>
      </w:pPr>
      <w:r>
        <w:rPr>
          <w:b/>
          <w:bCs/>
        </w:rPr>
        <w:t xml:space="preserve">Where humans lose time:</w:t>
      </w:r>
      <w:r>
        <w:t xml:space="preserve"> chasing missing details after the ticket's already filed; re-triaging near-duplicate tickets that arrived minutes apart; working tickets that never needed to be tickets.</w:t>
      </w:r>
    </w:p>
    <w:p>
      <w:pPr>
        <w:pStyle w:val="ListParagraph"/>
        <w:numPr>
          <w:ilvl w:val="0"/>
          <w:numId w:val="2"/>
        </w:numPr>
        <w:spacing w:after="100"/>
        <w:ind w:start="240"/>
        <w:jc w:val="left"/>
      </w:pPr>
      <w:r>
        <w:rPr>
          <w:b/>
          <w:bCs/>
        </w:rPr>
        <w:t xml:space="preserve">Why reasoning agents, not fixed rules:</w:t>
      </w:r>
      <w:r>
        <w:t xml:space="preserve"> the actual judgment calls — "is this description complete enough," "does this KB article really answer this specific question," "are these two tickets the same underlying problem" — are open-ended and language-heavy. They don't collapse into a keyword-routing table.</w:t>
      </w:r>
    </w:p>
    <w:p>
      <w:pPr>
        <w:pStyle w:val="ListParagraph"/>
        <w:numPr>
          <w:ilvl w:val="0"/>
          <w:numId w:val="2"/>
        </w:numPr>
        <w:spacing w:after="100"/>
        <w:ind w:start="240"/>
        <w:jc w:val="left"/>
      </w:pPr>
      <w:r>
        <w:rPr>
          <w:b/>
          <w:bCs/>
        </w:rPr>
        <w:t xml:space="preserve">The exact bottleneck being improved:</w:t>
      </w:r>
      <w:r>
        <w:t xml:space="preserve"> the moment a ticket is born, not the speed of resolving it afterward. Everything in the reviewed literature optimizes what happens after that moment; TRO is the only thing in the reviewed set that touches the moment itself.</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Problem Statement</w:t>
      </w:r>
    </w:p>
    <w:p>
      <w:pPr>
        <w:spacing w:after="120"/>
        <w:jc w:val="left"/>
      </w:pPr>
      <w:r>
        <w:rPr>
          <w:b/>
          <w:bCs/>
        </w:rPr>
        <w:t xml:space="preserve">Input data:</w:t>
      </w:r>
      <w:r>
        <w:t xml:space="preserve"> the user's raw natural-language message (chat/portal text — this is what's actually built; email and voice intake are extensible in principle, not implemented); conversation history within the current session; the KB/SOP corpus, pre-vectorized in ChromaDB/pgvector; the open-ticket pool, read back from Jira via JQL polling (or webhook, where supported) for Agent 4.</w:t>
      </w:r>
    </w:p>
    <w:p>
      <w:pPr>
        <w:spacing w:after="200"/>
      </w:pPr>
      <w:r>
        <w:t xml:space="preserve"> </w:t>
      </w:r>
    </w:p>
    <w:p>
      <w:pPr>
        <w:spacing w:after="120"/>
        <w:jc w:val="left"/>
      </w:pPr>
      <w:r>
        <w:rPr>
          <w:b/>
          <w:bCs/>
        </w:rPr>
        <w:t xml:space="preserve">System constraints:</w:t>
      </w:r>
      <w:r>
        <w:t xml:space="preserve"> capped Azure OpenAI calls for the demo/eval path, open-source/free-tier everywhere else (non-negotiable per the Scope document); each clarification turn needs to return in a few seconds to still feel like a conversation, not a form; three people, already mapped to Agents 1–2 / 3–5 / 6+infra; one to two academic terms, with a hard external dependency — the IDF must clear VIT's IPR cell before any public presentation or submission.</w:t>
      </w:r>
    </w:p>
    <w:p>
      <w:pPr>
        <w:spacing w:after="200"/>
      </w:pPr>
      <w:r>
        <w:t xml:space="preserve"> </w:t>
      </w:r>
    </w:p>
    <w:p>
      <w:pPr>
        <w:spacing w:after="120"/>
        <w:jc w:val="left"/>
      </w:pPr>
      <w:r>
        <w:rPr>
          <w:b/>
          <w:bCs/>
        </w:rPr>
        <w:t xml:space="preserve">Current pain points:</w:t>
      </w:r>
      <w:r>
        <w:t xml:space="preserve"> 20–30% of real-world ticket text is too vague for automated intent extraction to work at all (SSC-ICT/Twente, 340k tickets); self-resolvable issues still generate tickets because KB lookup is a passive aid, not a gate; near-simultaneous duplicate tickets get triaged independently because nothing checks the open-ticket pool before creation; routing decisions are either a black box or, at best (TickIt), produce an internal debugging trace rather than a customer/assignee-facing justification.</w:t>
      </w:r>
    </w:p>
    <w:p>
      <w:pPr>
        <w:spacing w:after="200"/>
      </w:pPr>
      <w:r>
        <w:t xml:space="preserve"> </w:t>
      </w:r>
    </w:p>
    <w:p>
      <w:pPr>
        <w:spacing w:after="120"/>
        <w:jc w:val="left"/>
      </w:pPr>
      <w:r>
        <w:rPr>
          <w:b/>
          <w:bCs/>
        </w:rPr>
        <w:t xml:space="preserve">Expected outputs</w:t>
      </w:r>
      <w:r>
        <w:t xml:space="preserve"> — four possible terminal states, all schema-defined, all audit-logged regardless of which path is taken:</w:t>
      </w:r>
    </w:p>
    <w:p>
      <w:pPr>
        <w:spacing w:after="100"/>
        <w:ind w:start="20"/>
        <w:jc w:val="left"/>
      </w:pPr>
      <w:r>
        <w:t xml:space="preserve">1. </w:t>
      </w:r>
      <w:r>
        <w:t xml:space="preserve">Self-resolution — conversation closes, no ticket record created.</w:t>
      </w:r>
    </w:p>
    <w:p>
      <w:pPr>
        <w:spacing w:after="100"/>
        <w:ind w:start="20"/>
        <w:jc w:val="left"/>
      </w:pPr>
      <w:r>
        <w:t xml:space="preserve">2. </w:t>
      </w:r>
      <w:r>
        <w:t xml:space="preserve">Structured ticket dispatched — canonical schema populated, sent to Jira.</w:t>
      </w:r>
    </w:p>
    <w:p>
      <w:pPr>
        <w:spacing w:after="100"/>
        <w:ind w:start="20"/>
        <w:jc w:val="left"/>
      </w:pPr>
      <w:r>
        <w:t xml:space="preserve">3. </w:t>
      </w:r>
      <w:r>
        <w:t xml:space="preserve">Merged into an existing ticket / incident cluster — no new record, existing one updated.</w:t>
      </w:r>
    </w:p>
    <w:p>
      <w:pPr>
        <w:spacing w:after="100"/>
        <w:ind w:start="20"/>
        <w:jc w:val="left"/>
      </w:pPr>
      <w:r>
        <w:t xml:space="preserve">4. </w:t>
      </w:r>
      <w:r>
        <w:t xml:space="preserve">Escalated to human reviewer — held with the full reasoning trace attached, never silently auto-resolved.</w:t>
      </w:r>
    </w:p>
    <w:p>
      <w:pPr>
        <w:spacing w:after="200"/>
      </w:pPr>
      <w:r>
        <w:t xml:space="preserve"> </w:t>
      </w:r>
    </w:p>
    <w:p>
      <w:pPr>
        <w:spacing w:after="120"/>
        <w:jc w:val="left"/>
      </w:pPr>
      <w:r>
        <w:rPr>
          <w:b/>
          <w:bCs/>
        </w:rPr>
        <w:t xml:space="preserve">Real-time requirements:</w:t>
      </w:r>
      <w:r>
        <w:t xml:space="preserve"> "real-time" means different things at different stages, and the paper should say so explicitly. Agents 1–3 are synchronous within a live chat turn — the user is present and waiting. Agent 4's open-ticket-pool freshness is near-real-time, not hard-real-time (5-minute poll default, webhook override where available). Agents 5–6 execute once, on an already-gated ticket, with no ongoing real-time requirement after dispatch.</w:t>
      </w:r>
    </w:p>
    <w:p>
      <w:pPr>
        <w:spacing w:after="200"/>
      </w:pPr>
      <w:r>
        <w:t xml:space="preserve"> </w:t>
      </w:r>
    </w:p>
    <w:p>
      <w:pPr>
        <w:spacing w:after="120"/>
        <w:jc w:val="left"/>
      </w:pPr>
      <w:r>
        <w:rPr>
          <w:b/>
          <w:bCs/>
        </w:rPr>
        <w:t xml:space="preserve">Enterprise requirements:</w:t>
      </w:r>
      <w:r>
        <w:t xml:space="preserve"> full audit trail of every gate decision, confidence score, and clarification turn (Postgres); explainable rationale attached to every dispatched ticket, not just an internal log; platform-adapter abstraction — the canonical schema, not Jira's field names, is the source of truth; SLA tier assigned at classification time, mapped into Jira's priority field.</w:t>
      </w:r>
    </w:p>
    <w:p>
      <w:pPr>
        <w:spacing w:after="200"/>
      </w:pPr>
      <w:r>
        <w:t xml:space="preserve"> </w:t>
      </w:r>
    </w:p>
    <w:p>
      <w:pPr>
        <w:spacing w:after="120"/>
        <w:jc w:val="left"/>
      </w:pPr>
      <w:r>
        <w:rPr>
          <w:b/>
          <w:bCs/>
        </w:rPr>
        <w:t xml:space="preserve">Human-in-the-loop requirements:</w:t>
      </w:r>
      <w:r>
        <w:t xml:space="preserve"> self-resolution offers require explicit user confirmation — Agent 3 never silently closes a conversation; low-confidence classifications escalate to a human reviewer with the full reasoning trace, not a bare re-ask. </w:t>
      </w:r>
      <w:r>
        <w:rPr>
          <w:b/>
          <w:bCs/>
        </w:rPr>
        <w:t xml:space="preserve">A gap worth closing now:</w:t>
      </w:r>
      <w:r>
        <w:t xml:space="preserve"> there's no explicit hard cap on clarification turns anywhere in the current design. Without one, the documented "Refusal persona" failure mode (ClarifyMT-Bench) becomes a live demo risk — a user who won't give a straight answer could loop Agent 2 indefinitely. Cap at 2–3 turns, then force a "proceed with partial info, flag lower confidence" fallback. Cheap to add now, expensive to discover live in front of a panel.</w:t>
      </w:r>
    </w:p>
    <w:p>
      <w:pPr>
        <w:spacing w:after="200"/>
      </w:pPr>
      <w:r>
        <w:t xml:space="preserve"> </w:t>
      </w:r>
    </w:p>
    <w:p>
      <w:pPr>
        <w:spacing w:after="120"/>
        <w:jc w:val="left"/>
      </w:pPr>
      <w:r>
        <w:rPr>
          <w:b/>
          <w:bCs/>
        </w:rPr>
        <w:t xml:space="preserve">What's fully automatable / what needs a human / what stays fundamentally hard:</w:t>
      </w:r>
    </w:p>
    <w:p>
      <w:pPr>
        <w:pStyle w:val="ListParagraph"/>
        <w:numPr>
          <w:ilvl w:val="0"/>
          <w:numId w:val="2"/>
        </w:numPr>
        <w:spacing w:after="100"/>
        <w:ind w:start="240"/>
        <w:jc w:val="left"/>
      </w:pPr>
      <w:r>
        <w:rPr>
          <w:i/>
          <w:iCs/>
        </w:rPr>
        <w:t xml:space="preserve">Fully automatable:</w:t>
      </w:r>
      <w:r>
        <w:t xml:space="preserve"> entity/intent extraction, KB similarity scoring, duplicate/cluster similarity scoring, gate-threshold comparisons, canonical-schema population, Jira dispatch, audit-trail writes.</w:t>
      </w:r>
    </w:p>
    <w:p>
      <w:pPr>
        <w:pStyle w:val="ListParagraph"/>
        <w:numPr>
          <w:ilvl w:val="0"/>
          <w:numId w:val="2"/>
        </w:numPr>
        <w:spacing w:after="100"/>
        <w:ind w:start="240"/>
        <w:jc w:val="left"/>
      </w:pPr>
      <w:r>
        <w:rPr>
          <w:i/>
          <w:iCs/>
        </w:rPr>
        <w:t xml:space="preserve">Needs a human, by design:</w:t>
      </w:r>
      <w:r>
        <w:t xml:space="preserve"> low-confidence classifications (Confidence Gate); realistically, the first several weeks of incident-correlation auto-merges in any real deployment, until the similarity threshold is validated on that client's actual traffic — even though it can run fully automatically on synthetic data for the capstone demo; disputed or refused clarifications.</w:t>
      </w:r>
    </w:p>
    <w:p>
      <w:pPr>
        <w:pStyle w:val="ListParagraph"/>
        <w:numPr>
          <w:ilvl w:val="0"/>
          <w:numId w:val="2"/>
        </w:numPr>
        <w:spacing w:after="100"/>
        <w:ind w:start="240"/>
        <w:jc w:val="left"/>
      </w:pPr>
      <w:r>
        <w:rPr>
          <w:i/>
          <w:iCs/>
        </w:rPr>
        <w:t xml:space="preserve">Stays hard no matter how well this is engineered:</w:t>
      </w:r>
      <w:r>
        <w:t xml:space="preserve"> a user's own description can remain genuinely ambiguous even after clarification, with no KB precedent to fall back on — no amount of gating removes ambiguity below some floor. Separately, validating deflection and correlation quality convincingly without real production traffic is an open methodological question that synthetic data doesn't fully resolve. Name it as a standing limitation, not something this project solves.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Gap Analysis and Novelty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50"/>
        <w:gridCol w:w="2298"/>
        <w:gridCol w:w="2690"/>
        <w:gridCol w:w="2522"/>
      </w:tblGrid>
      <w:tr>
        <w:trPr>
          <w:tblHeader/>
        </w:trPr>
        <w:tc>
          <w:p>
            <w:pPr>
              <w:jc w:val="left"/>
            </w:pPr>
            <w:r>
              <w:rPr>
                <w:b/>
                <w:bCs/>
              </w:rPr>
              <w:t xml:space="preserve">Category</w:t>
            </w:r>
          </w:p>
        </w:tc>
        <w:tc>
          <w:p>
            <w:pPr>
              <w:jc w:val="left"/>
            </w:pPr>
            <w:r>
              <w:rPr>
                <w:b/>
                <w:bCs/>
              </w:rPr>
              <w:t xml:space="preserve">What It Already Solves</w:t>
            </w:r>
          </w:p>
        </w:tc>
        <w:tc>
          <w:p>
            <w:pPr>
              <w:jc w:val="left"/>
            </w:pPr>
            <w:r>
              <w:rPr>
                <w:b/>
                <w:bCs/>
              </w:rPr>
              <w:t xml:space="preserve">Where It Falls Short</w:t>
            </w:r>
          </w:p>
        </w:tc>
        <w:tc>
          <w:p>
            <w:pPr>
              <w:jc w:val="left"/>
            </w:pPr>
            <w:r>
              <w:rPr>
                <w:b/>
                <w:bCs/>
              </w:rPr>
              <w:t xml:space="preserve">Does TRO Actually Improve On It?</w:t>
            </w:r>
          </w:p>
        </w:tc>
      </w:tr>
      <w:tr>
        <w:tc>
          <w:p>
            <w:pPr>
              <w:jc w:val="left"/>
            </w:pPr>
            <w:r>
              <w:t xml:space="preserve">Traditional / rule-based routing</w:t>
            </w:r>
          </w:p>
        </w:tc>
        <w:tc>
          <w:p>
            <w:pPr>
              <w:jc w:val="left"/>
            </w:pPr>
            <w:r>
              <w:t xml:space="preserve">Deterministic dispatch once a ticket is well-formed; cheap, predictable, auditable</w:t>
            </w:r>
          </w:p>
        </w:tc>
        <w:tc>
          <w:p>
            <w:pPr>
              <w:jc w:val="left"/>
            </w:pPr>
            <w:r>
              <w:t xml:space="preserve">Brittle to phrasing variance; can't handle vague/incomplete text; manual rule maintenance</w:t>
            </w:r>
          </w:p>
        </w:tc>
        <w:tc>
          <w:p>
            <w:pPr>
              <w:jc w:val="left"/>
            </w:pPr>
            <w:r>
              <w:t xml:space="preserve">TRO doesn't replace this — it precedes it, feeding cleaner input to whatever routing logic comes after</w:t>
            </w:r>
          </w:p>
        </w:tc>
      </w:tr>
      <w:tr>
        <w:tc>
          <w:p>
            <w:pPr>
              <w:jc w:val="left"/>
            </w:pPr>
            <w:r>
              <w:t xml:space="preserve">LLM chatbots (general support bots)</w:t>
            </w:r>
          </w:p>
        </w:tc>
        <w:tc>
          <w:p>
            <w:pPr>
              <w:jc w:val="left"/>
            </w:pPr>
            <w:r>
              <w:t xml:space="preserve">Natural conversational UX; fluent FAQ-style answers</w:t>
            </w:r>
          </w:p>
        </w:tc>
        <w:tc>
          <w:p>
            <w:pPr>
              <w:jc w:val="left"/>
            </w:pPr>
            <w:r>
              <w:t xml:space="preserve">Rarely feed a formal, gated ticket-creation pipeline; systematically </w:t>
            </w:r>
            <w:r>
              <w:rPr>
                <w:i/>
                <w:iCs/>
              </w:rPr>
              <w:t xml:space="preserve">under-ask</w:t>
            </w:r>
            <w:r>
              <w:t xml:space="preserve"> clarifying questions (ClarifyMT-Bench, all 10 tested models)</w:t>
            </w:r>
          </w:p>
        </w:tc>
        <w:tc>
          <w:p>
            <w:pPr>
              <w:jc w:val="left"/>
            </w:pPr>
            <w:r>
              <w:t xml:space="preserve">TRO's explicit completeness gate is a structural fix for exactly this bias, not just a better prompt</w:t>
            </w:r>
          </w:p>
        </w:tc>
      </w:tr>
      <w:tr>
        <w:tc>
          <w:p>
            <w:pPr>
              <w:jc w:val="left"/>
            </w:pPr>
            <w:r>
              <w:t xml:space="preserve">RAG systems</w:t>
            </w:r>
          </w:p>
        </w:tc>
        <w:tc>
          <w:p>
            <w:pPr>
              <w:jc w:val="left"/>
            </w:pPr>
            <w:r>
              <w:t xml:space="preserve">Grounds answers in a KB, reduces hallucination for known issues</w:t>
            </w:r>
          </w:p>
        </w:tc>
        <w:tc>
          <w:p>
            <w:pPr>
              <w:jc w:val="left"/>
            </w:pPr>
            <w:r>
              <w:t xml:space="preserve">Used almost everywhere as a read-only aid for a human or the end user, not as a formal gate deciding </w:t>
            </w:r>
            <w:r>
              <w:rPr>
                <w:i/>
                <w:iCs/>
              </w:rPr>
              <w:t xml:space="preserve">whether</w:t>
            </w:r>
            <w:r>
              <w:t xml:space="preserve"> a ticket gets created</w:t>
            </w:r>
          </w:p>
        </w:tc>
        <w:tc>
          <w:p>
            <w:pPr>
              <w:jc w:val="left"/>
            </w:pPr>
            <w:r>
              <w:t xml:space="preserve">TRO's Agent 3 turns KB confidence into a control-flow decision, not just an answer</w:t>
            </w:r>
          </w:p>
        </w:tc>
      </w:tr>
      <w:tr>
        <w:tc>
          <w:p>
            <w:pPr>
              <w:jc w:val="left"/>
            </w:pPr>
            <w:r>
              <w:t xml:space="preserve">Multi-agent systems (TRIANGLE)</w:t>
            </w:r>
          </w:p>
        </w:tc>
        <w:tc>
          <w:p>
            <w:pPr>
              <w:jc w:val="left"/>
            </w:pPr>
            <w:r>
              <w:t xml:space="preserve">Proves specialized-agent + gate + explainability works in production at real scale (20TB/day)</w:t>
            </w:r>
          </w:p>
        </w:tc>
        <w:tc>
          <w:p>
            <w:pPr>
              <w:jc w:val="left"/>
            </w:pPr>
            <w:r>
              <w:t xml:space="preserve">Every reviewed instance, including TRIANGLE, starts after a ticket already exists</w:t>
            </w:r>
          </w:p>
        </w:tc>
        <w:tc>
          <w:p>
            <w:pPr>
              <w:jc w:val="left"/>
            </w:pPr>
            <w:r>
              <w:t xml:space="preserve">TRO is the same architectural philosophy moved one phase earlier — genuinely unoccupied territory per all 12 reviewed sources</w:t>
            </w:r>
          </w:p>
        </w:tc>
      </w:tr>
      <w:tr>
        <w:tc>
          <w:p>
            <w:pPr>
              <w:jc w:val="left"/>
            </w:pPr>
            <w:r>
              <w:t xml:space="preserve">Planning / reasoning agents (ReAct-style, AIOps auto-remediation)</w:t>
            </w:r>
          </w:p>
        </w:tc>
        <w:tc>
          <w:p>
            <w:pPr>
              <w:jc w:val="left"/>
            </w:pPr>
            <w:r>
              <w:t xml:space="preserve">Increasingly used in DevOps/SRE for autonomous multi-step remediation (restart a service, run a runbook)</w:t>
            </w:r>
          </w:p>
        </w:tc>
        <w:tc>
          <w:p>
            <w:pPr>
              <w:jc w:val="left"/>
            </w:pPr>
            <w:r>
              <w:t xml:space="preserve">TRO does not do this, and shouldn't try to — root-cause analysis and automated remediation are a different, harder, higher-risk problem</w:t>
            </w:r>
          </w:p>
        </w:tc>
        <w:tc>
          <w:p>
            <w:pPr>
              <w:jc w:val="left"/>
            </w:pPr>
            <w:r>
              <w:t xml:space="preserve">This is a boundary, not a gap TRO fills. Don't claim ground TRO doesn't occupy</w:t>
            </w:r>
          </w:p>
        </w:tc>
      </w:tr>
    </w:tbl>
    <w:p>
      <w:pPr>
        <w:spacing w:before="240"/>
      </w:pPr>
      <w:r>
        <w:t xml:space="preserve"> </w:t>
      </w:r>
    </w:p>
    <w:p>
      <w:pPr>
        <w:spacing w:after="120"/>
        <w:jc w:val="left"/>
      </w:pPr>
      <w:r>
        <w:rPr>
          <w:b/>
          <w:bCs/>
        </w:rPr>
        <w:t xml:space="preserve">Ranking the four novelty claims by how well they'd survive a skeptical reviewer, strongest to weakest:</w:t>
      </w:r>
    </w:p>
    <w:p>
      <w:pPr>
        <w:spacing w:after="200"/>
      </w:pPr>
      <w:r>
        <w:t xml:space="preserve"> </w:t>
      </w:r>
    </w:p>
    <w:p>
      <w:pPr>
        <w:spacing w:after="100"/>
        <w:ind w:start="20"/>
        <w:jc w:val="left"/>
      </w:pPr>
      <w:r>
        <w:t xml:space="preserve">1. </w:t>
      </w:r>
      <w:r>
        <w:rPr>
          <w:b/>
          <w:bCs/>
        </w:rPr>
        <w:t xml:space="preserve">Temporal correlation at intake (Claim #2) — strongest.</w:t>
      </w:r>
      <w:r>
        <w:t xml:space="preserve"> Nothing in the reviewed literature does pre-creation correlation; iPACK is the closest comparator and it's explicitly post-incident. The cleanest, least contested gap in the whole review.</w:t>
      </w:r>
    </w:p>
    <w:p>
      <w:pPr>
        <w:spacing w:after="100"/>
        <w:ind w:start="20"/>
        <w:jc w:val="left"/>
      </w:pPr>
      <w:r>
        <w:t xml:space="preserve">2. </w:t>
      </w:r>
      <w:r>
        <w:rPr>
          <w:b/>
          <w:bCs/>
        </w:rPr>
        <w:t xml:space="preserve">Completeness scoring as an agentic trigger (Claim #1) — strong, but the pieces exist elsewhere.</w:t>
      </w:r>
      <w:r>
        <w:t xml:space="preserve"> Zangari's F1 ceiling and ClarifyMT-Bench's under-clarification finding justify it well, and MAS2S already does confidence-gated clarification in a general domain. TRO's real contribution is applying this specifically at ITSM ticket intake, not inventing the mechanism.</w:t>
      </w:r>
    </w:p>
    <w:p>
      <w:pPr>
        <w:spacing w:after="100"/>
        <w:ind w:start="20"/>
        <w:jc w:val="left"/>
      </w:pPr>
      <w:r>
        <w:t xml:space="preserve">3. </w:t>
      </w:r>
      <w:r>
        <w:rPr>
          <w:b/>
          <w:bCs/>
        </w:rPr>
        <w:t xml:space="preserve">KB-grounded deflection at intake (Claim #3) — real, but narrower than it sounds.</w:t>
      </w:r>
      <w:r>
        <w:t xml:space="preserve"> As a gate that can prevent ticket creation, this is genuinely uncontested. But RAG-for-support is close to ubiquitous now — be precise that the novelty is the </w:t>
      </w:r>
      <w:r>
        <w:rPr>
          <w:i/>
          <w:iCs/>
        </w:rPr>
        <w:t xml:space="preserve">gate</w:t>
      </w:r>
      <w:r>
        <w:t xml:space="preserve">, not the retrieval.</w:t>
      </w:r>
    </w:p>
    <w:p>
      <w:pPr>
        <w:spacing w:after="100"/>
        <w:ind w:start="20"/>
        <w:jc w:val="left"/>
      </w:pPr>
      <w:r>
        <w:t xml:space="preserve">4. </w:t>
      </w:r>
      <w:r>
        <w:rPr>
          <w:b/>
          <w:bCs/>
        </w:rPr>
        <w:t xml:space="preserve">Explainable routing rationale (Claim #4) — weakest as a research claim.</w:t>
      </w:r>
      <w:r>
        <w:t xml:space="preserve"> Natural-language rationale generation from a classifier is a large, mature area, and TickIt already produces free-text reasoning internally — the real distinction (customer/assignee-facing vs. internal-only) is narrower than "explainability" makes it sound. Recommend repositioning this from a core research novelty to an applied/product differentiator. Still worth demoing — genuinely rare in ITSM specifically — just don't lean on it as claim #4 of four equally-weighted inventions.</w:t>
      </w:r>
    </w:p>
    <w:p>
      <w:pPr>
        <w:spacing w:after="200"/>
      </w:pPr>
      <w:r>
        <w:t xml:space="preserve"> </w:t>
      </w:r>
    </w:p>
    <w:p>
      <w:pPr>
        <w:spacing w:after="120"/>
        <w:jc w:val="left"/>
      </w:pPr>
      <w:r>
        <w:rPr>
          <w:b/>
          <w:bCs/>
        </w:rPr>
        <w:t xml:space="preserve">One-line honest summary:</w:t>
      </w:r>
      <w:r>
        <w:t xml:space="preserve"> TRO has one real architectural claim (gated, explainable orchestration moved to the pre-creation phase) with three demonstrations of uneven strength, not four independent inventions of equal weight. Framed that way, a reviewer has less to push back on, not more.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Final Expected Outcome</w:t>
      </w:r>
    </w:p>
    <w:p>
      <w:pPr>
        <w:spacing w:after="120"/>
        <w:jc w:val="left"/>
      </w:pPr>
      <w:r>
        <w:rPr>
          <w:b/>
          <w:bCs/>
        </w:rPr>
        <w:t xml:space="preserve">Scenario A — deflection path.</w:t>
      </w:r>
      <w:r>
        <w:t xml:space="preserve"> Priya in Accounting types: "VPN keeps disconnecting." Agent 1 extracts category = network/VPN, but no timestamp or frequency. The Completeness Gate flags it incomplete. Agent 2 asks one targeted question — does this happen right after her laptop wakes from sleep, or at random times? She answers "after sleep, every time." Agent 1 re-scores as complete. Agent 3 matches this to a KB article on VPN-client reconnect-after-sleep at 78% confidence and offers the fix conversationally. Priya confirms it worked. The conversation closes — no ticket is ever created — and the interaction is logged to Postgres, feeding the dashboard's deflection-rate count.</w:t>
      </w:r>
    </w:p>
    <w:p>
      <w:pPr>
        <w:spacing w:after="200"/>
      </w:pPr>
      <w:r>
        <w:t xml:space="preserve"> </w:t>
      </w:r>
    </w:p>
    <w:p>
      <w:pPr>
        <w:spacing w:after="120"/>
        <w:jc w:val="left"/>
      </w:pPr>
      <w:r>
        <w:rPr>
          <w:b/>
          <w:bCs/>
        </w:rPr>
        <w:t xml:space="preserve">Scenario B — correlation path.</w:t>
      </w:r>
      <w:r>
        <w:t xml:space="preserve"> Three users on the same subnet file similar VPN complaints within 90 minutes. The first ticket proceeds normally. When the second and third arrive, Agent 4's read-back of the open-ticket pool flags a temporal-plus-semantic match. Instead of three tickets triaged separately, Agent 5 classifies the cluster once, writes a single routing rationale referencing the pattern, and Agent 6 dispatches one incident-adjacent ticket to Network Operations with the other two linked as duplicates — not three cold starts for whoever picks them up.</w:t>
      </w:r>
    </w:p>
    <w:p>
      <w:pPr>
        <w:spacing w:after="200"/>
      </w:pPr>
      <w:r>
        <w:t xml:space="preserve"> </w:t>
      </w:r>
    </w:p>
    <w:p>
      <w:pPr>
        <w:spacing w:after="120"/>
        <w:jc w:val="left"/>
      </w:pPr>
      <w:r>
        <w:rPr>
          <w:b/>
          <w:bCs/>
        </w:rPr>
        <w:t xml:space="preserve">Three tiers of ambition, one line each:</w:t>
      </w:r>
    </w:p>
    <w:p>
      <w:pPr>
        <w:pStyle w:val="ListParagraph"/>
        <w:numPr>
          <w:ilvl w:val="0"/>
          <w:numId w:val="2"/>
        </w:numPr>
        <w:spacing w:after="100"/>
        <w:ind w:start="240"/>
        <w:jc w:val="left"/>
      </w:pPr>
      <w:r>
        <w:rPr>
          <w:b/>
          <w:bCs/>
        </w:rPr>
        <w:t xml:space="preserve">MVP (what actually gets demoed):</w:t>
      </w:r>
      <w:r>
        <w:t xml:space="preserve"> the six-agent pipeline above, both gates working live, Jira JSM dispatch, Postgres audit trail, a basic dashboard — proven end-to-end on synthetic/Kaggle data.</w:t>
      </w:r>
    </w:p>
    <w:p>
      <w:pPr>
        <w:pStyle w:val="ListParagraph"/>
        <w:numPr>
          <w:ilvl w:val="0"/>
          <w:numId w:val="2"/>
        </w:numPr>
        <w:spacing w:after="100"/>
        <w:ind w:start="240"/>
        <w:jc w:val="left"/>
      </w:pPr>
      <w:r>
        <w:rPr>
          <w:b/>
          <w:bCs/>
        </w:rPr>
        <w:t xml:space="preserve">Ideal enterprise version (the vision, not the deliverable):</w:t>
      </w:r>
      <w:r>
        <w:t xml:space="preserve"> multi-platform adapters actually built out, multi-tenant isolation for MSP clients, live Power BI, a validated fine-tuned classifier fallback, real production evaluation data.</w:t>
      </w:r>
    </w:p>
    <w:p>
      <w:pPr>
        <w:pStyle w:val="ListParagraph"/>
        <w:numPr>
          <w:ilvl w:val="0"/>
          <w:numId w:val="2"/>
        </w:numPr>
        <w:spacing w:after="100"/>
        <w:ind w:start="240"/>
        <w:jc w:val="left"/>
      </w:pPr>
      <w:r>
        <w:rPr>
          <w:b/>
          <w:bCs/>
        </w:rPr>
        <w:t xml:space="preserve">Publishable research contribution:</w:t>
      </w:r>
      <w:r>
        <w:t xml:space="preserve"> the pre-submission gating architecture itself, evaluated honestly against the field's own cited ceilings — not the enterprise vision, and not oversold as more than a well-evidenced systems contribution.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Metrics and Evaluation Framework</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
        <w:gridCol w:w="1191"/>
        <w:gridCol w:w="1770"/>
        <w:gridCol w:w="1327"/>
        <w:gridCol w:w="1532"/>
        <w:gridCol w:w="1566"/>
        <w:gridCol w:w="1770"/>
      </w:tblGrid>
      <w:tr>
        <w:trPr>
          <w:tblHeader/>
        </w:trPr>
        <w:tc>
          <w:p>
            <w:pPr>
              <w:jc w:val="left"/>
            </w:pPr>
            <w:r>
              <w:rPr>
                <w:b/>
                <w:bCs/>
              </w:rPr>
              <w:t xml:space="preserve">#</w:t>
            </w:r>
          </w:p>
        </w:tc>
        <w:tc>
          <w:p>
            <w:pPr>
              <w:jc w:val="left"/>
            </w:pPr>
            <w:r>
              <w:rPr>
                <w:b/>
                <w:bCs/>
              </w:rPr>
              <w:t xml:space="preserve">Metric</w:t>
            </w:r>
          </w:p>
        </w:tc>
        <w:tc>
          <w:p>
            <w:pPr>
              <w:jc w:val="left"/>
            </w:pPr>
            <w:r>
              <w:rPr>
                <w:b/>
                <w:bCs/>
              </w:rPr>
              <w:t xml:space="preserve">Why It Matters</w:t>
            </w:r>
          </w:p>
        </w:tc>
        <w:tc>
          <w:p>
            <w:pPr>
              <w:jc w:val="left"/>
            </w:pPr>
            <w:r>
              <w:rPr>
                <w:b/>
                <w:bCs/>
              </w:rPr>
              <w:t xml:space="preserve">Baseline / Prior Art</w:t>
            </w:r>
          </w:p>
        </w:tc>
        <w:tc>
          <w:p>
            <w:pPr>
              <w:jc w:val="left"/>
            </w:pPr>
            <w:r>
              <w:rPr>
                <w:b/>
                <w:bCs/>
              </w:rPr>
              <w:t xml:space="preserve">Realistic Target</w:t>
            </w:r>
          </w:p>
        </w:tc>
        <w:tc>
          <w:p>
            <w:pPr>
              <w:jc w:val="left"/>
            </w:pPr>
            <w:r>
              <w:rPr>
                <w:b/>
                <w:bCs/>
              </w:rPr>
              <w:t xml:space="preserve">Measurement Method</w:t>
            </w:r>
          </w:p>
        </w:tc>
        <w:tc>
          <w:p>
            <w:pPr>
              <w:jc w:val="left"/>
            </w:pPr>
            <w:r>
              <w:rPr>
                <w:b/>
                <w:bCs/>
              </w:rPr>
              <w:t xml:space="preserve">Honestly Measurable Pre-Deployment?</w:t>
            </w:r>
          </w:p>
        </w:tc>
      </w:tr>
      <w:tr>
        <w:tc>
          <w:p>
            <w:pPr>
              <w:jc w:val="left"/>
            </w:pPr>
            <w:r>
              <w:t xml:space="preserve">1</w:t>
            </w:r>
          </w:p>
        </w:tc>
        <w:tc>
          <w:p>
            <w:pPr>
              <w:jc w:val="left"/>
            </w:pPr>
            <w:r>
              <w:t xml:space="preserve">Classification / routing F1</w:t>
            </w:r>
          </w:p>
        </w:tc>
        <w:tc>
          <w:p>
            <w:pPr>
              <w:jc w:val="left"/>
            </w:pPr>
            <w:r>
              <w:t xml:space="preserve">Core routing correctness</w:t>
            </w:r>
          </w:p>
        </w:tc>
        <w:tc>
          <w:p>
            <w:pPr>
              <w:jc w:val="left"/>
            </w:pPr>
            <w:r>
              <w:t xml:space="preserve">Zangari et al.: 38–60% F1 ceiling on noisy real-world text</w:t>
            </w:r>
          </w:p>
        </w:tc>
        <w:tc>
          <w:p>
            <w:pPr>
              <w:jc w:val="left"/>
            </w:pPr>
            <w:r>
              <w:t xml:space="preserve">Match or modestly exceed the ceiling on your own dataset; don't headline a number above ~90%</w:t>
            </w:r>
          </w:p>
        </w:tc>
        <w:tc>
          <w:p>
            <w:pPr>
              <w:jc w:val="left"/>
            </w:pPr>
            <w:r>
              <w:t xml:space="preserve">Held-out labeled synthetic/Kaggle test set, standard precision/recall/F1</w:t>
            </w:r>
          </w:p>
        </w:tc>
        <w:tc>
          <w:p>
            <w:pPr>
              <w:jc w:val="left"/>
            </w:pPr>
            <w:r>
              <w:t xml:space="preserve">Yes</w:t>
            </w:r>
          </w:p>
        </w:tc>
      </w:tr>
      <w:tr>
        <w:tc>
          <w:p>
            <w:pPr>
              <w:jc w:val="left"/>
            </w:pPr>
            <w:r>
              <w:t xml:space="preserve">2</w:t>
            </w:r>
          </w:p>
        </w:tc>
        <w:tc>
          <w:p>
            <w:pPr>
              <w:jc w:val="left"/>
            </w:pPr>
            <w:r>
              <w:t xml:space="preserve">Deflection rate</w:t>
            </w:r>
          </w:p>
        </w:tc>
        <w:tc>
          <w:p>
            <w:pPr>
              <w:jc w:val="left"/>
            </w:pPr>
            <w:r>
              <w:t xml:space="preserve">Headline "before the ticket exists" metric</w:t>
            </w:r>
          </w:p>
        </w:tc>
        <w:tc>
          <w:p>
            <w:pPr>
              <w:jc w:val="left"/>
            </w:pPr>
            <w:r>
              <w:t xml:space="preserve">No directly comparable published baseline</w:t>
            </w:r>
          </w:p>
        </w:tc>
        <w:tc>
          <w:p>
            <w:pPr>
              <w:jc w:val="left"/>
            </w:pPr>
            <w:r>
              <w:t xml:space="preserve">Report whatever your curated SOP corpus actually yields; don't set a target before you've measured once</w:t>
            </w:r>
          </w:p>
        </w:tc>
        <w:tc>
          <w:p>
            <w:pPr>
              <w:jc w:val="left"/>
            </w:pPr>
            <w:r>
              <w:t xml:space="preserve">Count(self-resolved) / Count(total conversations) on eval set</w:t>
            </w:r>
          </w:p>
        </w:tc>
        <w:tc>
          <w:p>
            <w:pPr>
              <w:jc w:val="left"/>
            </w:pPr>
            <w:r>
              <w:t xml:space="preserve">Yes, bounded by how realistic your synthetic KB is</w:t>
            </w:r>
          </w:p>
        </w:tc>
      </w:tr>
      <w:tr>
        <w:tc>
          <w:p>
            <w:pPr>
              <w:jc w:val="left"/>
            </w:pPr>
            <w:r>
              <w:t xml:space="preserve">3</w:t>
            </w:r>
          </w:p>
        </w:tc>
        <w:tc>
          <w:p>
            <w:pPr>
              <w:jc w:val="left"/>
            </w:pPr>
            <w:r>
              <w:t xml:space="preserve">Deflection accuracy (false-deflection rate)</w:t>
            </w:r>
          </w:p>
        </w:tc>
        <w:tc>
          <w:p>
            <w:pPr>
              <w:jc w:val="left"/>
            </w:pPr>
            <w:r>
              <w:t xml:space="preserve">A high raw deflection rate is meaningless — even harmful — if a chunk of it is Agent 3 confidently offering the </w:t>
            </w:r>
            <w:r>
              <w:rPr>
                <w:i/>
                <w:iCs/>
              </w:rPr>
              <w:t xml:space="preserve">wrong</w:t>
            </w:r>
            <w:r>
              <w:t xml:space="preserve"> fix</w:t>
            </w:r>
          </w:p>
        </w:tc>
        <w:tc>
          <w:p>
            <w:pPr>
              <w:jc w:val="left"/>
            </w:pPr>
            <w:r>
              <w:t xml:space="preserve">Not tracked separately in any reviewed source — a rigor addition beyond the literature</w:t>
            </w:r>
          </w:p>
        </w:tc>
        <w:tc>
          <w:p>
            <w:pPr>
              <w:jc w:val="left"/>
            </w:pPr>
            <w:r>
              <w:t xml:space="preserve">Report honestly even if uncomfortable</w:t>
            </w:r>
          </w:p>
        </w:tc>
        <w:tc>
          <w:p>
            <w:pPr>
              <w:jc w:val="left"/>
            </w:pPr>
            <w:r>
              <w:t xml:space="preserve">For each synthetic ticket with a known correct resolution, check whether the offered KB article actually matches it</w:t>
            </w:r>
          </w:p>
        </w:tc>
        <w:tc>
          <w:p>
            <w:pPr>
              <w:jc w:val="left"/>
            </w:pPr>
            <w:r>
              <w:t xml:space="preserve">Yes, and should be non-negotiable — never publish a deflection-rate number without this pairing</w:t>
            </w:r>
          </w:p>
        </w:tc>
      </w:tr>
      <w:tr>
        <w:tc>
          <w:p>
            <w:pPr>
              <w:jc w:val="left"/>
            </w:pPr>
            <w:r>
              <w:t xml:space="preserve">4</w:t>
            </w:r>
          </w:p>
        </w:tc>
        <w:tc>
          <w:p>
            <w:pPr>
              <w:jc w:val="left"/>
            </w:pPr>
            <w:r>
              <w:t xml:space="preserve">Clarification-turn efficiency</w:t>
            </w:r>
          </w:p>
        </w:tc>
        <w:tc>
          <w:p>
            <w:pPr>
              <w:jc w:val="left"/>
            </w:pPr>
            <w:r>
              <w:t xml:space="preserve">Efficiency of Agent 2 — fewer, </w:t>
            </w:r>
            <w:r>
              <w:rPr>
                <w:i/>
                <w:iCs/>
              </w:rPr>
              <w:t xml:space="preserve">better</w:t>
            </w:r>
            <w:r>
              <w:t xml:space="preserve"> questions, not more questions</w:t>
            </w:r>
          </w:p>
        </w:tc>
        <w:tc>
          <w:p>
            <w:pPr>
              <w:jc w:val="left"/>
            </w:pPr>
            <w:r>
              <w:t xml:space="preserve">MAS2S: 2.97 observed avg turns vs. 2.36 oracle-optimal</w:t>
            </w:r>
          </w:p>
        </w:tc>
        <w:tc>
          <w:p>
            <w:pPr>
              <w:jc w:val="left"/>
            </w:pPr>
            <w:r>
              <w:t xml:space="preserve">Land close to that oracle-to-observed gap; don't count fewer turns as "better" if completeness drops</w:t>
            </w:r>
          </w:p>
        </w:tc>
        <w:tc>
          <w:p>
            <w:pPr>
              <w:jc w:val="left"/>
            </w:pPr>
            <w:r>
              <w:t xml:space="preserve">Average turns-to-completeness vs. a hand-labeled "minimum necessary questions" oracle</w:t>
            </w:r>
          </w:p>
        </w:tc>
        <w:tc>
          <w:p>
            <w:pPr>
              <w:jc w:val="left"/>
            </w:pPr>
            <w:r>
              <w:t xml:space="preserve">Yes</w:t>
            </w:r>
          </w:p>
        </w:tc>
      </w:tr>
      <w:tr>
        <w:tc>
          <w:p>
            <w:pPr>
              <w:jc w:val="left"/>
            </w:pPr>
            <w:r>
              <w:t xml:space="preserve">5</w:t>
            </w:r>
          </w:p>
        </w:tc>
        <w:tc>
          <w:p>
            <w:pPr>
              <w:jc w:val="left"/>
            </w:pPr>
            <w:r>
              <w:t xml:space="preserve">Correlation precision/recall</w:t>
            </w:r>
          </w:p>
        </w:tc>
        <w:tc>
          <w:p>
            <w:pPr>
              <w:jc w:val="left"/>
            </w:pPr>
            <w:r>
              <w:t xml:space="preserve">Core Claim #2 — false positives actively harm (wrongly merging unrelated tickets); false negatives quietly miss the value prop entirely</w:t>
            </w:r>
          </w:p>
        </w:tc>
        <w:tc>
          <w:p>
            <w:pPr>
              <w:jc w:val="left"/>
            </w:pPr>
            <w:r>
              <w:t xml:space="preserve">No directly transferable baseline (iPACK measures post-incident dedup, a different task)</w:t>
            </w:r>
          </w:p>
        </w:tc>
        <w:tc>
          <w:p>
            <w:pPr>
              <w:jc w:val="left"/>
            </w:pPr>
            <w:r>
              <w:t xml:space="preserve">Report both, don't collapse to one number</w:t>
            </w:r>
          </w:p>
        </w:tc>
        <w:tc>
          <w:p>
            <w:pPr>
              <w:jc w:val="left"/>
            </w:pPr>
            <w:r>
              <w:t xml:space="preserve">A small, hand-curated synthetic incident-cluster test set (true clusters + confusable near-miss non-clusters as hard negatives)</w:t>
            </w:r>
          </w:p>
        </w:tc>
        <w:tc>
          <w:p>
            <w:pPr>
              <w:jc w:val="left"/>
            </w:pPr>
            <w:r>
              <w:t xml:space="preserve">Yes, but a genuinely convincing test set is more work than it looks — budget real time for it</w:t>
            </w:r>
          </w:p>
        </w:tc>
      </w:tr>
      <w:tr>
        <w:tc>
          <w:p>
            <w:pPr>
              <w:jc w:val="left"/>
            </w:pPr>
            <w:r>
              <w:t xml:space="preserve">6</w:t>
            </w:r>
          </w:p>
        </w:tc>
        <w:tc>
          <w:p>
            <w:pPr>
              <w:jc w:val="left"/>
            </w:pPr>
            <w:r>
              <w:t xml:space="preserve">LLM confidence calibration</w:t>
            </w:r>
          </w:p>
        </w:tc>
        <w:tc>
          <w:p>
            <w:pPr>
              <w:jc w:val="left"/>
            </w:pPr>
            <w:r>
              <w:t xml:space="preserve">The entire completeness/confidence-gate design assumes self-reported confidence tracks actual correctness; none of the reviewed papers check this for their own systems</w:t>
            </w:r>
          </w:p>
        </w:tc>
        <w:tc>
          <w:p>
            <w:pPr>
              <w:jc w:val="left"/>
            </w:pPr>
            <w:r>
              <w:t xml:space="preserve">None established in the reviewed literature</w:t>
            </w:r>
          </w:p>
        </w:tc>
        <w:tc>
          <w:p>
            <w:pPr>
              <w:jc w:val="left"/>
            </w:pPr>
            <w:r>
              <w:t xml:space="preserve">No target to promise in advance — report the calibration curve honestly</w:t>
            </w:r>
          </w:p>
        </w:tc>
        <w:tc>
          <w:p>
            <w:pPr>
              <w:jc w:val="left"/>
            </w:pPr>
            <w:r>
              <w:t xml:space="preserve">Bucket self-reported confidence scores, compare against actual accuracy per bucket, reusing Metric 1's eval set</w:t>
            </w:r>
          </w:p>
        </w:tc>
        <w:tc>
          <w:p>
            <w:pPr>
              <w:jc w:val="left"/>
            </w:pPr>
            <w:r>
              <w:t xml:space="preserve">Yes, and nearly free since it reuses Metric 1's labeled set</w:t>
            </w:r>
          </w:p>
        </w:tc>
      </w:tr>
      <w:tr>
        <w:tc>
          <w:p>
            <w:pPr>
              <w:jc w:val="left"/>
            </w:pPr>
            <w:r>
              <w:t xml:space="preserve">7</w:t>
            </w:r>
          </w:p>
        </w:tc>
        <w:tc>
          <w:p>
            <w:pPr>
              <w:jc w:val="left"/>
            </w:pPr>
            <w:r>
              <w:t xml:space="preserve">Human-reviewer escalation rate</w:t>
            </w:r>
          </w:p>
        </w:tc>
        <w:tc>
          <w:p>
            <w:pPr>
              <w:jc w:val="left"/>
            </w:pPr>
            <w:r>
              <w:t xml:space="preserve">Confidence Gate behavior — a proxy for whether the system knows what it doesn't know</w:t>
            </w:r>
          </w:p>
        </w:tc>
        <w:tc>
          <w:p>
            <w:pPr>
              <w:jc w:val="left"/>
            </w:pPr>
            <w:r>
              <w:t xml:space="preserve">N/A (system-specific)</w:t>
            </w:r>
          </w:p>
        </w:tc>
        <w:tc>
          <w:p>
            <w:pPr>
              <w:jc w:val="left"/>
            </w:pPr>
            <w:r>
              <w:t xml:space="preserve">Should be low on clean synthetic data; deliberately include adversarial/ambiguous cases to prove the gate fires when it should</w:t>
            </w:r>
          </w:p>
        </w:tc>
        <w:tc>
          <w:p>
            <w:pPr>
              <w:jc w:val="left"/>
            </w:pPr>
            <w:r>
              <w:t xml:space="preserve">Count(escalated) / Count(total)</w:t>
            </w:r>
          </w:p>
        </w:tc>
        <w:tc>
          <w:p>
            <w:pPr>
              <w:jc w:val="left"/>
            </w:pPr>
            <w:r>
              <w:t xml:space="preserve">Yes</w:t>
            </w:r>
          </w:p>
        </w:tc>
      </w:tr>
      <w:tr>
        <w:tc>
          <w:p>
            <w:pPr>
              <w:jc w:val="left"/>
            </w:pPr>
            <w:r>
              <w:t xml:space="preserve">8</w:t>
            </w:r>
          </w:p>
        </w:tc>
        <w:tc>
          <w:p>
            <w:pPr>
              <w:jc w:val="left"/>
            </w:pPr>
            <w:r>
              <w:t xml:space="preserve">End-to-end and per-stage latency</w:t>
            </w:r>
          </w:p>
        </w:tc>
        <w:tc>
          <w:p>
            <w:pPr>
              <w:jc w:val="left"/>
            </w:pPr>
            <w:r>
              <w:t xml:space="preserve">Real-time viability; a proxy for cost, since each LLM call costs money and time</w:t>
            </w:r>
          </w:p>
        </w:tc>
        <w:tc>
          <w:p>
            <w:pPr>
              <w:jc w:val="left"/>
            </w:pPr>
            <w:r>
              <w:t xml:space="preserve">TRIANGLE explicitly flags multi-step LLM latency/cost as a risk of voting-style architectures</w:t>
            </w:r>
          </w:p>
        </w:tc>
        <w:tc>
          <w:p>
            <w:pPr>
              <w:jc w:val="left"/>
            </w:pPr>
            <w:r>
              <w:t xml:space="preserve">Single-pass Agent 5 (no voting) should keep end-to-end well within "still feels like a live conversation"</w:t>
            </w:r>
          </w:p>
        </w:tc>
        <w:tc>
          <w:p>
            <w:pPr>
              <w:jc w:val="left"/>
            </w:pPr>
            <w:r>
              <w:t xml:space="preserve">Wall-clock instrumentation per pipeline stage</w:t>
            </w:r>
          </w:p>
        </w:tc>
        <w:tc>
          <w:p>
            <w:pPr>
              <w:jc w:val="left"/>
            </w:pPr>
            <w:r>
              <w:t xml:space="preserve">Yes, directly, on your own deployed pipeline</w:t>
            </w:r>
          </w:p>
        </w:tc>
      </w:tr>
      <w:tr>
        <w:tc>
          <w:p>
            <w:pPr>
              <w:jc w:val="left"/>
            </w:pPr>
            <w:r>
              <w:t xml:space="preserve">9</w:t>
            </w:r>
          </w:p>
        </w:tc>
        <w:tc>
          <w:p>
            <w:pPr>
              <w:jc w:val="left"/>
            </w:pPr>
            <w:r>
              <w:t xml:space="preserve">Duplicate-detection threshold (θ) sensitivity</w:t>
            </w:r>
          </w:p>
        </w:tc>
        <w:tc>
          <w:p>
            <w:pPr>
              <w:jc w:val="left"/>
            </w:pPr>
            <w:r>
              <w:t xml:space="preserve">Reused technique from TickIt (θ = 0.88); not guaranteed to transfer to TRO's own data distribution</w:t>
            </w:r>
          </w:p>
        </w:tc>
        <w:tc>
          <w:p>
            <w:pPr>
              <w:jc w:val="left"/>
            </w:pPr>
            <w:r>
              <w:t xml:space="preserve">TickIt's 0.88 was empirically swept for its own domain, not assumed</w:t>
            </w:r>
          </w:p>
        </w:tc>
        <w:tc>
          <w:p>
            <w:pPr>
              <w:jc w:val="left"/>
            </w:pPr>
            <w:r>
              <w:t xml:space="preserve">Run even a small 5–10 value sweep rather than reusing 0.88 blind</w:t>
            </w:r>
          </w:p>
        </w:tc>
        <w:tc>
          <w:p>
            <w:pPr>
              <w:jc w:val="left"/>
            </w:pPr>
            <w:r>
              <w:t xml:space="preserve">Precision/recall across a range of cosine-similarity thresholds on labeled duplicate/non-duplicate pairs</w:t>
            </w:r>
          </w:p>
        </w:tc>
        <w:tc>
          <w:p>
            <w:pPr>
              <w:jc w:val="left"/>
            </w:pPr>
            <w:r>
              <w:t xml:space="preserve">Yes</w:t>
            </w:r>
          </w:p>
        </w:tc>
      </w:tr>
      <w:tr>
        <w:tc>
          <w:p>
            <w:pPr>
              <w:jc w:val="left"/>
            </w:pPr>
            <w:r>
              <w:t xml:space="preserve">10</w:t>
            </w:r>
          </w:p>
        </w:tc>
        <w:tc>
          <w:p>
            <w:pPr>
              <w:jc w:val="left"/>
            </w:pPr>
            <w:r>
              <w:t xml:space="preserve">MTTR / FRT / SLA compliance / real user satisfaction / actual cost savings</w:t>
            </w:r>
          </w:p>
        </w:tc>
        <w:tc>
          <w:p>
            <w:pPr>
              <w:jc w:val="left"/>
            </w:pPr>
            <w:r>
              <w:t xml:space="preserve">The metrics an enterprise buyer — or Kyndryl's own evaluators — will ask for first</w:t>
            </w:r>
          </w:p>
        </w:tc>
        <w:tc>
          <w:p>
            <w:pPr>
              <w:jc w:val="left"/>
            </w:pPr>
            <w:r>
              <w:t xml:space="preserve">TickIt: 39% MTTR reduction, measured on 654,901 real production messages</w:t>
            </w:r>
          </w:p>
        </w:tc>
        <w:tc>
          <w:p>
            <w:pPr>
              <w:jc w:val="left"/>
            </w:pPr>
            <w:r>
              <w:rPr>
                <w:b/>
                <w:bCs/>
              </w:rPr>
              <w:t xml:space="preserve">Cannot be honestly claimed from a synthetic/Kaggle capstone evaluation</w:t>
            </w:r>
          </w:p>
        </w:tc>
        <w:tc>
          <w:p>
            <w:pPr>
              <w:jc w:val="left"/>
            </w:pPr>
            <w:r>
              <w:t xml:space="preserve">Would require live deployment with real ticket volume over time</w:t>
            </w:r>
          </w:p>
        </w:tc>
        <w:tc>
          <w:p>
            <w:pPr>
              <w:jc w:val="left"/>
            </w:pPr>
            <w:r>
              <w:rPr>
                <w:b/>
                <w:bCs/>
              </w:rPr>
              <w:t xml:space="preserve">No.</w:t>
            </w:r>
            <w:r>
              <w:t xml:space="preserve"> Say so explicitly rather than projecting a number — this is exactly the mistake the existing literature review already flagged and rejected in the IRJMETS paper</w:t>
            </w:r>
          </w:p>
        </w:tc>
      </w:tr>
    </w:tbl>
    <w:p>
      <w:pPr>
        <w:spacing w:before="240"/>
      </w:pPr>
      <w:r>
        <w:t xml:space="preserve"> </w:t>
      </w:r>
    </w:p>
    <w:p>
      <w:pPr>
        <w:spacing w:after="120"/>
        <w:jc w:val="left"/>
      </w:pPr>
      <w:r>
        <w:t xml:space="preserve">A few metrics named in the standard template don't map cleanly onto TRO's actual scope, and it's better to say so than force a fit: </w:t>
      </w:r>
      <w:r>
        <w:rPr>
          <w:b/>
          <w:bCs/>
        </w:rPr>
        <w:t xml:space="preserve">Root cause identification accuracy</w:t>
      </w:r>
      <w:r>
        <w:t xml:space="preserve"> doesn't apply — TRO never attempts root-cause analysis, by design (Section 8). </w:t>
      </w:r>
      <w:r>
        <w:rPr>
          <w:b/>
          <w:bCs/>
        </w:rPr>
        <w:t xml:space="preserve">Agent planning accuracy</w:t>
      </w:r>
      <w:r>
        <w:t xml:space="preserve"> is really asking about Agent 2's question-selection judgment, already covered by Metric 4. </w:t>
      </w:r>
      <w:r>
        <w:rPr>
          <w:b/>
          <w:bCs/>
        </w:rPr>
        <w:t xml:space="preserve">Automation coverage</w:t>
      </w:r>
      <w:r>
        <w:t xml:space="preserve"> is best read as (deflection rate + auto-dispatch-without-escalation rate) — the share of conversations reaching a terminal state without a human ever touching them — which is Metrics 2 and 7 combined, not a new number.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Real-World Impact</w:t>
      </w:r>
    </w:p>
    <w:p>
      <w:pPr>
        <w:spacing w:after="120"/>
        <w:jc w:val="left"/>
      </w:pPr>
      <w:r>
        <w:rPr>
          <w:b/>
          <w:bCs/>
        </w:rPr>
        <w:t xml:space="preserve">Is this a genuine improvement, or just engineering integration?</w:t>
      </w:r>
      <w:r>
        <w:t xml:space="preserve"> Honestly, both — and that's fine as long as the paper is precise about which parts are which. The one genuinely new piece is narrow: moving gated, explainable multi-agent orchestration to the pre-creation phase. Layered on top of that single real claim are three instantiations (deflection, correlation, rationale), each individually well-precedented elsewhere, as Section 4 lays out. Frame the paper as </w:t>
      </w:r>
      <w:r>
        <w:rPr>
          <w:b/>
          <w:bCs/>
        </w:rPr>
        <w:t xml:space="preserve">one architectural contribution with three demonstrations</w:t>
      </w:r>
      <w:r>
        <w:t xml:space="preserve">, not four independent inventions — more accurate, and more defensible.</w:t>
      </w:r>
    </w:p>
    <w:p>
      <w:pPr>
        <w:spacing w:after="200"/>
      </w:pPr>
      <w:r>
        <w:t xml:space="preserve"> </w:t>
      </w:r>
    </w:p>
    <w:p>
      <w:pPr>
        <w:spacing w:after="120"/>
        <w:jc w:val="left"/>
      </w:pPr>
      <w:r>
        <w:rPr>
          <w:b/>
          <w:bCs/>
        </w:rPr>
        <w:t xml:space="preserve">Is it publishable?</w:t>
      </w:r>
      <w:r>
        <w:t xml:space="preserve"> Yes, at the same tier as its two closest comparators — TRIANGLE targeted ASE, TickIt targeted FSE, both industrial/applied tracks, not core-ML theory venues. TRO's contribution is architectural and positional, not a new learning algorithm, and should be judged — and submitted — on that basis. A Scopus-indexed applied-systems or software-engineering-in-practice track (ASE Industry, FSE Industry, ICSE-SEIP, or an equivalent IEEE regional conference) is the honest target, not a core-ML venue that will grade it on algorithmic novelty it doesn't claim to have.</w:t>
      </w:r>
    </w:p>
    <w:p>
      <w:pPr>
        <w:spacing w:after="200"/>
      </w:pPr>
      <w:r>
        <w:t xml:space="preserve"> </w:t>
      </w:r>
    </w:p>
    <w:p>
      <w:pPr>
        <w:spacing w:after="120"/>
        <w:jc w:val="left"/>
      </w:pPr>
      <w:r>
        <w:rPr>
          <w:b/>
          <w:bCs/>
        </w:rPr>
        <w:t xml:space="preserve">Which industries genuinely fit, and which are a stretch:</w:t>
      </w:r>
    </w:p>
    <w:p>
      <w:pPr>
        <w:pStyle w:val="ListParagraph"/>
        <w:numPr>
          <w:ilvl w:val="0"/>
          <w:numId w:val="2"/>
        </w:numPr>
        <w:spacing w:after="100"/>
        <w:ind w:start="240"/>
        <w:jc w:val="left"/>
      </w:pPr>
      <w:r>
        <w:rPr>
          <w:b/>
          <w:bCs/>
        </w:rPr>
        <w:t xml:space="preserve">IT / MSP service desks</w:t>
      </w:r>
      <w:r>
        <w:t xml:space="preserve"> — strong, direct fit. This is what's actually built.</w:t>
      </w:r>
    </w:p>
    <w:p>
      <w:pPr>
        <w:pStyle w:val="ListParagraph"/>
        <w:numPr>
          <w:ilvl w:val="0"/>
          <w:numId w:val="2"/>
        </w:numPr>
        <w:spacing w:after="100"/>
        <w:ind w:start="240"/>
        <w:jc w:val="left"/>
      </w:pPr>
      <w:r>
        <w:rPr>
          <w:b/>
          <w:bCs/>
        </w:rPr>
        <w:t xml:space="preserve">Banking, healthcare, telecom internal IT helpdesks</w:t>
      </w:r>
      <w:r>
        <w:t xml:space="preserve"> — compatible in principle (same "human types a plain-English IT issue" pattern), but not validated. Banking and healthcare add compliance overhead — audit and data-residency requirements — that TRO's audit trail helps with but doesn't fully solve without domain-specific hardening. Say "compatible, not validated," not "applicable."</w:t>
      </w:r>
    </w:p>
    <w:p>
      <w:pPr>
        <w:pStyle w:val="ListParagraph"/>
        <w:numPr>
          <w:ilvl w:val="0"/>
          <w:numId w:val="2"/>
        </w:numPr>
        <w:spacing w:after="100"/>
        <w:ind w:start="240"/>
        <w:jc w:val="left"/>
      </w:pPr>
      <w:r>
        <w:rPr>
          <w:b/>
          <w:bCs/>
        </w:rPr>
        <w:t xml:space="preserve">Cloud ops / DevOps / general AIOps</w:t>
      </w:r>
      <w:r>
        <w:t xml:space="preserve"> — the weakest fit as currently scoped. TRO's front door assumes a human describing a problem in plain English; DevOps signals are usually machine-generated (alerts, logs, metrics), which is a different Agent 1 entirely. The downstream pipeline (gating, correlation, routing, explainability) could transfer; the intake layer would need to be substantially rebuilt.</w:t>
      </w:r>
    </w:p>
    <w:p>
      <w:pPr>
        <w:spacing w:after="200"/>
      </w:pPr>
      <w:r>
        <w:t xml:space="preserve"> </w:t>
      </w:r>
    </w:p>
    <w:p>
      <w:pPr>
        <w:spacing w:after="120"/>
        <w:jc w:val="left"/>
      </w:pPr>
      <w:r>
        <w:rPr>
          <w:b/>
          <w:bCs/>
        </w:rPr>
        <w:t xml:space="preserve">Two gaps a sharp enterprise evaluator will find immediately — better to name them first:</w:t>
      </w:r>
    </w:p>
    <w:p>
      <w:pPr>
        <w:pStyle w:val="ListParagraph"/>
        <w:numPr>
          <w:ilvl w:val="0"/>
          <w:numId w:val="2"/>
        </w:numPr>
        <w:spacing w:after="100"/>
        <w:ind w:start="240"/>
        <w:jc w:val="left"/>
      </w:pPr>
      <w:r>
        <w:rPr>
          <w:b/>
          <w:bCs/>
        </w:rPr>
        <w:t xml:space="preserve">Multi-tenancy.</w:t>
      </w:r>
      <w:r>
        <w:t xml:space="preserve"> Pitching to an MSP — by definition, a company serving multiple enterprise clients from one platform — implies each client's tickets, KB, and embeddings must stay isolated from every other client's. Nothing in the current schema or vector-store design addresses this; it's single-tenant as specified. Kyndryl's own technical evaluators would ask about this in the first meeting. Name it as an explicit, known limitation with a stated extension path (per-client vector namespaces, Postgres row-level security) rather than letting it be discovered.</w:t>
      </w:r>
    </w:p>
    <w:p>
      <w:pPr>
        <w:pStyle w:val="ListParagraph"/>
        <w:numPr>
          <w:ilvl w:val="0"/>
          <w:numId w:val="2"/>
        </w:numPr>
        <w:spacing w:after="100"/>
        <w:ind w:start="240"/>
        <w:jc w:val="left"/>
      </w:pPr>
      <w:r>
        <w:rPr>
          <w:b/>
          <w:bCs/>
        </w:rPr>
        <w:t xml:space="preserve">Cost-per-ticket economics.</w:t>
      </w:r>
      <w:r>
        <w:t xml:space="preserve"> A single user conversation can trigger four or more LLM calls (extraction, clarification, deflection scoring, classification + rationale). At real MSP ticket volume, that compute cost needs to be modeled against the labor cost it's meant to save — otherwise "reduces cost for MSPs" is assumed, not demonstrated. The already-planned XLNet/HGB phased fallback is the right long-term answer; until that transition happens, disclose the AI-first cost structure honestly in the paper's limitations.</w:t>
      </w:r>
    </w:p>
    <w:p>
      <w:pPr>
        <w:spacing w:after="200"/>
      </w:pPr>
      <w:r>
        <w:t xml:space="preserve"> </w:t>
      </w:r>
    </w:p>
    <w:p>
      <w:pPr>
        <w:spacing w:after="120"/>
        <w:jc w:val="left"/>
      </w:pPr>
      <w:r>
        <w:rPr>
          <w:b/>
          <w:bCs/>
        </w:rPr>
        <w:t xml:space="preserve">If this paper is published, what meaningful difference could it actually make?</w:t>
      </w:r>
      <w:r>
        <w:t xml:space="preserve"> Modest, but real. It would be a legitimate, citable proof-of-concept in a genuinely underexplored niche — pre-submission agentic gating — useful to future researchers building on the idea and to MSPs evaluating whether the approach is worth pursuing. It would not, on its own, change industry practice. That's consistent with how TRIANGLE and TickIt themselves function in the literature: production case studies that move the field one real, well-evidenced step, not paradigm shifts. That's a completely respectable outcome for a final-year capstone — and a more honest one to walk into a review panel with than an inflated claim that invites exactly the pushback this section anticipates.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Multi-Agent Architecture</w:t>
      </w:r>
    </w:p>
    <w:p>
      <w:pPr>
        <w:spacing w:after="120"/>
        <w:jc w:val="left"/>
      </w:pPr>
      <w:r>
        <w:rPr>
          <w:b/>
          <w:bCs/>
        </w:rPr>
        <w:t xml:space="preserve">Input Layer — an honest scoping note before the agent list.</w:t>
      </w:r>
      <w:r>
        <w:t xml:space="preserve"> The standard template names Jira, ServiceNow, Email, Monitoring systems, Logs, and the Knowledge Base as inputs. What's actually live in TRO's v1: conversational/chat text intake, the vectorized KB/SOP corpus, and Jira — used both as the read-back source for Agent 4's open-ticket pool and as the dispatch target for Agent 6. ServiceNow/Freshservice/Zendesk are adapter-pattern extensibility claims, not built integrations. Email and monitoring/log-stream intake would need a fundamentally different Agent 1 (parsing structured alert payloads instead of conversational text) and should stay named as future work, not implied as supported today.</w:t>
      </w:r>
    </w:p>
    <w:p>
      <w:pPr>
        <w:spacing w:after="200"/>
      </w:pPr>
      <w:r>
        <w:t xml:space="preserve"> </w:t>
      </w:r>
    </w:p>
    <w:p>
      <w:pPr>
        <w:spacing w:after="120"/>
        <w:jc w:val="left"/>
      </w:pPr>
      <w:r>
        <w:rPr>
          <w:b/>
          <w:bCs/>
        </w:rPr>
        <w:t xml:space="preserve">The Agent Layer, as TRO actually has it:</w:t>
      </w:r>
    </w:p>
    <w:p>
      <w:pPr>
        <w:spacing w:after="200"/>
      </w:pPr>
      <w:r>
        <w:t xml:space="preserve"> </w:t>
      </w:r>
    </w:p>
    <w:p>
      <w:pPr>
        <w:pStyle w:val="ListParagraph"/>
        <w:numPr>
          <w:ilvl w:val="0"/>
          <w:numId w:val="2"/>
        </w:numPr>
        <w:spacing w:after="100"/>
        <w:ind w:start="240"/>
        <w:jc w:val="left"/>
      </w:pPr>
      <w:r>
        <w:rPr>
          <w:b/>
          <w:bCs/>
        </w:rPr>
        <w:t xml:space="preserve">Agent 1 — Intake &amp; Entity Extraction.</w:t>
      </w:r>
      <w:r>
        <w:t xml:space="preserve"> </w:t>
      </w:r>
      <w:r>
        <w:rPr>
          <w:i/>
          <w:iCs/>
        </w:rPr>
        <w:t xml:space="preserve">Inputs:</w:t>
      </w:r>
      <w:r>
        <w:t xml:space="preserve"> raw user message, running conversation state. </w:t>
      </w:r>
      <w:r>
        <w:rPr>
          <w:i/>
          <w:iCs/>
        </w:rPr>
        <w:t xml:space="preserve">Outputs:</w:t>
      </w:r>
      <w:r>
        <w:t xml:space="preserve"> extracted entities, draft intent, urgency signals, per-field completeness sub-scores. </w:t>
      </w:r>
      <w:r>
        <w:rPr>
          <w:i/>
          <w:iCs/>
        </w:rPr>
        <w:t xml:space="preserve">Memory:</w:t>
      </w:r>
      <w:r>
        <w:t xml:space="preserve"> none beyond the current conversation. </w:t>
      </w:r>
      <w:r>
        <w:rPr>
          <w:i/>
          <w:iCs/>
        </w:rPr>
        <w:t xml:space="preserve">Tools:</w:t>
      </w:r>
      <w:r>
        <w:t xml:space="preserve"> none — pure NLP extraction. </w:t>
      </w:r>
      <w:r>
        <w:rPr>
          <w:i/>
          <w:iCs/>
        </w:rPr>
        <w:t xml:space="preserve">Honest classification:</w:t>
      </w:r>
      <w:r>
        <w:t xml:space="preserve"> mostly a </w:t>
      </w:r>
      <w:r>
        <w:rPr>
          <w:b/>
          <w:bCs/>
        </w:rPr>
        <w:t xml:space="preserve">workflow step</w:t>
      </w:r>
      <w:r>
        <w:t xml:space="preserve">, not an autonomous agent — it transforms text into fields; it doesn't decide or call anything. "Agent 1" is fine as pipeline-naming convention, but it's closer to a classical NLP stage than a reasoning agent.</w:t>
      </w:r>
    </w:p>
    <w:p>
      <w:pPr>
        <w:pStyle w:val="ListParagraph"/>
        <w:numPr>
          <w:ilvl w:val="0"/>
          <w:numId w:val="2"/>
        </w:numPr>
        <w:spacing w:after="100"/>
        <w:ind w:start="240"/>
        <w:jc w:val="left"/>
      </w:pPr>
      <w:r>
        <w:rPr>
          <w:b/>
          <w:bCs/>
        </w:rPr>
        <w:t xml:space="preserve">Agent 2 — Adaptive Clarifier.</w:t>
      </w:r>
      <w:r>
        <w:t xml:space="preserve"> </w:t>
      </w:r>
      <w:r>
        <w:rPr>
          <w:i/>
          <w:iCs/>
        </w:rPr>
        <w:t xml:space="preserve">Inputs:</w:t>
      </w:r>
      <w:r>
        <w:t xml:space="preserve"> Agent 1's output, completeness scores, conversation history. </w:t>
      </w:r>
      <w:r>
        <w:rPr>
          <w:i/>
          <w:iCs/>
        </w:rPr>
        <w:t xml:space="preserve">Outputs:</w:t>
      </w:r>
      <w:r>
        <w:t xml:space="preserve"> one targeted follow-up question, or a "proceed" signal. </w:t>
      </w:r>
      <w:r>
        <w:rPr>
          <w:i/>
          <w:iCs/>
        </w:rPr>
        <w:t xml:space="preserve">Memory:</w:t>
      </w:r>
      <w:r>
        <w:t xml:space="preserve"> conversation-scoped slot state (ClarifyMT-Bench's Tracker). </w:t>
      </w:r>
      <w:r>
        <w:rPr>
          <w:i/>
          <w:iCs/>
        </w:rPr>
        <w:t xml:space="preserve">Tools:</w:t>
      </w:r>
      <w:r>
        <w:t xml:space="preserve"> an LLM call. </w:t>
      </w:r>
      <w:r>
        <w:rPr>
          <w:i/>
          <w:iCs/>
        </w:rPr>
        <w:t xml:space="preserve">Honest classification:</w:t>
      </w:r>
      <w:r>
        <w:t xml:space="preserve"> genuinely </w:t>
      </w:r>
      <w:r>
        <w:rPr>
          <w:b/>
          <w:bCs/>
        </w:rPr>
        <w:t xml:space="preserve">agentic</w:t>
      </w:r>
      <w:r>
        <w:t xml:space="preserve"> — it reasons over partial state to decide what to ask next.</w:t>
      </w:r>
    </w:p>
    <w:p>
      <w:pPr>
        <w:pStyle w:val="ListParagraph"/>
        <w:numPr>
          <w:ilvl w:val="0"/>
          <w:numId w:val="2"/>
        </w:numPr>
        <w:spacing w:after="100"/>
        <w:ind w:start="240"/>
        <w:jc w:val="left"/>
      </w:pPr>
      <w:r>
        <w:rPr>
          <w:b/>
          <w:bCs/>
        </w:rPr>
        <w:t xml:space="preserve">Agent 3 — KB Retrieval &amp; Deflection Gate.</w:t>
      </w:r>
      <w:r>
        <w:t xml:space="preserve"> </w:t>
      </w:r>
      <w:r>
        <w:rPr>
          <w:i/>
          <w:iCs/>
        </w:rPr>
        <w:t xml:space="preserve">Inputs:</w:t>
      </w:r>
      <w:r>
        <w:t xml:space="preserve"> completed intake fields. </w:t>
      </w:r>
      <w:r>
        <w:rPr>
          <w:i/>
          <w:iCs/>
        </w:rPr>
        <w:t xml:space="preserve">Outputs:</w:t>
      </w:r>
      <w:r>
        <w:t xml:space="preserve"> retrieved KB article(s), a resolution-confidence score, and — above threshold — a self-resolution offer. </w:t>
      </w:r>
      <w:r>
        <w:rPr>
          <w:i/>
          <w:iCs/>
        </w:rPr>
        <w:t xml:space="preserve">Memory:</w:t>
      </w:r>
      <w:r>
        <w:t xml:space="preserve"> none beyond the session; reads the persistent vector store. </w:t>
      </w:r>
      <w:r>
        <w:rPr>
          <w:i/>
          <w:iCs/>
        </w:rPr>
        <w:t xml:space="preserve">Tools:</w:t>
      </w:r>
      <w:r>
        <w:t xml:space="preserve"> ChromaDB/pgvector similarity search, an LLM call to compose the response. </w:t>
      </w:r>
      <w:r>
        <w:rPr>
          <w:i/>
          <w:iCs/>
        </w:rPr>
        <w:t xml:space="preserve">Honest classification:</w:t>
      </w:r>
      <w:r>
        <w:t xml:space="preserve"> </w:t>
      </w:r>
      <w:r>
        <w:rPr>
          <w:b/>
          <w:bCs/>
        </w:rPr>
        <w:t xml:space="preserve">agentic in the gating decision</w:t>
      </w:r>
      <w:r>
        <w:t xml:space="preserve">, workflow-like in the retrieval mechanics.</w:t>
      </w:r>
    </w:p>
    <w:p>
      <w:pPr>
        <w:pStyle w:val="ListParagraph"/>
        <w:numPr>
          <w:ilvl w:val="0"/>
          <w:numId w:val="2"/>
        </w:numPr>
        <w:spacing w:after="100"/>
        <w:ind w:start="240"/>
        <w:jc w:val="left"/>
      </w:pPr>
      <w:r>
        <w:rPr>
          <w:b/>
          <w:bCs/>
        </w:rPr>
        <w:t xml:space="preserve">Agent 4 — Correlation Engine.</w:t>
      </w:r>
      <w:r>
        <w:t xml:space="preserve"> </w:t>
      </w:r>
      <w:r>
        <w:rPr>
          <w:i/>
          <w:iCs/>
        </w:rPr>
        <w:t xml:space="preserve">Inputs:</w:t>
      </w:r>
      <w:r>
        <w:t xml:space="preserve"> completed fields, the open-ticket pool. </w:t>
      </w:r>
      <w:r>
        <w:rPr>
          <w:i/>
          <w:iCs/>
        </w:rPr>
        <w:t xml:space="preserve">Outputs:</w:t>
      </w:r>
      <w:r>
        <w:t xml:space="preserve"> a duplicate/merge flag, an incident-cluster flag, or pass-through. </w:t>
      </w:r>
      <w:r>
        <w:rPr>
          <w:i/>
          <w:iCs/>
        </w:rPr>
        <w:t xml:space="preserve">Memory:</w:t>
      </w:r>
      <w:r>
        <w:t xml:space="preserve"> a rolling window of open tickets, refreshed by poll or webhook. </w:t>
      </w:r>
      <w:r>
        <w:rPr>
          <w:i/>
          <w:iCs/>
        </w:rPr>
        <w:t xml:space="preserve">Tools:</w:t>
      </w:r>
      <w:r>
        <w:t xml:space="preserve"> embedding similarity search, threshold comparison. </w:t>
      </w:r>
      <w:r>
        <w:rPr>
          <w:i/>
          <w:iCs/>
        </w:rPr>
        <w:t xml:space="preserve">Honest classification:</w:t>
      </w:r>
      <w:r>
        <w:t xml:space="preserve"> mostly </w:t>
      </w:r>
      <w:r>
        <w:rPr>
          <w:b/>
          <w:bCs/>
        </w:rPr>
        <w:t xml:space="preserve">workflow/threshold logic wearing agent branding</w:t>
      </w:r>
      <w:r>
        <w:t xml:space="preserve"> — the decision itself is a deterministic comparison against a similarity score, not open-ended reasoning. The hard part here is a data/evaluation problem (getting the threshold right), not an agentic-reasoning problem — worth saying plainly, since this is also the agent flagged elsewhere as hardest to </w:t>
      </w:r>
      <w:r>
        <w:rPr>
          <w:i/>
          <w:iCs/>
        </w:rPr>
        <w:t xml:space="preserve">build</w:t>
      </w:r>
      <w:r>
        <w:t xml:space="preserve">, which isn't the same thing as hardest to </w:t>
      </w:r>
      <w:r>
        <w:rPr>
          <w:i/>
          <w:iCs/>
        </w:rPr>
        <w:t xml:space="preserve">reason with</w:t>
      </w:r>
      <w:r>
        <w:t xml:space="preserve">.</w:t>
      </w:r>
    </w:p>
    <w:p>
      <w:pPr>
        <w:pStyle w:val="ListParagraph"/>
        <w:numPr>
          <w:ilvl w:val="0"/>
          <w:numId w:val="2"/>
        </w:numPr>
        <w:spacing w:after="100"/>
        <w:ind w:start="240"/>
        <w:jc w:val="left"/>
      </w:pPr>
      <w:r>
        <w:rPr>
          <w:b/>
          <w:bCs/>
        </w:rPr>
        <w:t xml:space="preserve">Agent 5 — Classify, Prioritize, Explain.</w:t>
      </w:r>
      <w:r>
        <w:t xml:space="preserve"> </w:t>
      </w:r>
      <w:r>
        <w:rPr>
          <w:i/>
          <w:iCs/>
        </w:rPr>
        <w:t xml:space="preserve">Inputs:</w:t>
      </w:r>
      <w:r>
        <w:t xml:space="preserve"> completed and correlated ticket fields. </w:t>
      </w:r>
      <w:r>
        <w:rPr>
          <w:i/>
          <w:iCs/>
        </w:rPr>
        <w:t xml:space="preserve">Outputs:</w:t>
      </w:r>
      <w:r>
        <w:t xml:space="preserve"> category, SLA tier, plain-English routing rationale. </w:t>
      </w:r>
      <w:r>
        <w:rPr>
          <w:i/>
          <w:iCs/>
        </w:rPr>
        <w:t xml:space="preserve">Memory:</w:t>
      </w:r>
      <w:r>
        <w:t xml:space="preserve"> none — stateless per ticket. </w:t>
      </w:r>
      <w:r>
        <w:rPr>
          <w:i/>
          <w:iCs/>
        </w:rPr>
        <w:t xml:space="preserve">Tools:</w:t>
      </w:r>
      <w:r>
        <w:t xml:space="preserve"> an LLM call; later, optionally, the HGB fallback once real data accumulates. </w:t>
      </w:r>
      <w:r>
        <w:rPr>
          <w:i/>
          <w:iCs/>
        </w:rPr>
        <w:t xml:space="preserve">Honest classification:</w:t>
      </w:r>
      <w:r>
        <w:t xml:space="preserve"> </w:t>
      </w:r>
      <w:r>
        <w:rPr>
          <w:b/>
          <w:bCs/>
        </w:rPr>
        <w:t xml:space="preserve">agentic</w:t>
      </w:r>
      <w:r>
        <w:t xml:space="preserve">, though closer to structured classification-with-explanation than open-ended planning.</w:t>
      </w:r>
    </w:p>
    <w:p>
      <w:pPr>
        <w:pStyle w:val="ListParagraph"/>
        <w:numPr>
          <w:ilvl w:val="0"/>
          <w:numId w:val="2"/>
        </w:numPr>
        <w:spacing w:after="100"/>
        <w:ind w:start="240"/>
        <w:jc w:val="left"/>
      </w:pPr>
      <w:r>
        <w:rPr>
          <w:b/>
          <w:bCs/>
        </w:rPr>
        <w:t xml:space="preserve">Agent 6 — Ticket Creation &amp; Dispatch.</w:t>
      </w:r>
      <w:r>
        <w:t xml:space="preserve"> </w:t>
      </w:r>
      <w:r>
        <w:rPr>
          <w:i/>
          <w:iCs/>
        </w:rPr>
        <w:t xml:space="preserve">Inputs:</w:t>
      </w:r>
      <w:r>
        <w:t xml:space="preserve"> the fully classified ticket object. </w:t>
      </w:r>
      <w:r>
        <w:rPr>
          <w:i/>
          <w:iCs/>
        </w:rPr>
        <w:t xml:space="preserve">Outputs:</w:t>
      </w:r>
      <w:r>
        <w:t xml:space="preserve"> a created Jira issue, a Postgres audit record. </w:t>
      </w:r>
      <w:r>
        <w:rPr>
          <w:i/>
          <w:iCs/>
        </w:rPr>
        <w:t xml:space="preserve">Memory:</w:t>
      </w:r>
      <w:r>
        <w:t xml:space="preserve"> none. </w:t>
      </w:r>
      <w:r>
        <w:rPr>
          <w:i/>
          <w:iCs/>
        </w:rPr>
        <w:t xml:space="preserve">Tools:</w:t>
      </w:r>
      <w:r>
        <w:t xml:space="preserve"> Jira REST API v3, Postgres writes. </w:t>
      </w:r>
      <w:r>
        <w:rPr>
          <w:i/>
          <w:iCs/>
        </w:rPr>
        <w:t xml:space="preserve">Honest classification:</w:t>
      </w:r>
      <w:r>
        <w:t xml:space="preserve"> </w:t>
      </w:r>
      <w:r>
        <w:rPr>
          <w:b/>
          <w:bCs/>
        </w:rPr>
        <w:t xml:space="preserve">pure workflow/execution</w:t>
      </w:r>
      <w:r>
        <w:t xml:space="preserve"> — not an agent by any reasonable definition. Keeping the label is fine narratively; a rigorous reviewer would be right to note this is deterministic dispatch code.</w:t>
      </w:r>
    </w:p>
    <w:p>
      <w:pPr>
        <w:spacing w:after="200"/>
      </w:pPr>
      <w:r>
        <w:t xml:space="preserve"> </w:t>
      </w:r>
    </w:p>
    <w:p>
      <w:pPr>
        <w:spacing w:after="120"/>
        <w:jc w:val="left"/>
      </w:pPr>
      <w:r>
        <w:rPr>
          <w:b/>
          <w:bCs/>
        </w:rPr>
        <w:t xml:space="preserve">Which "agents" are actually workflows?</w:t>
      </w:r>
      <w:r>
        <w:t xml:space="preserve"> Agents 1, 4, and 6 are honestly closer to classical pipeline stages than autonomous reasoning agents; only Agents 2, 3, and 5 involve genuine open-ended LLM judgment. Saying this explicitly in the paper — </w:t>
      </w:r>
      <w:r>
        <w:rPr>
          <w:i/>
          <w:iCs/>
        </w:rPr>
        <w:t xml:space="preserve">"of the six stages, three are agentic in the full sense, three are deterministic workflow stages the agentic ones depend on"</w:t>
      </w:r>
      <w:r>
        <w:t xml:space="preserve"> — reads as precision, not weakness, and preempts an easy "you're calling everything an agent" critique before a reviewer gets to make it.</w:t>
      </w:r>
    </w:p>
    <w:p>
      <w:pPr>
        <w:spacing w:after="200"/>
      </w:pPr>
      <w:r>
        <w:t xml:space="preserve"> </w:t>
      </w:r>
    </w:p>
    <w:p>
      <w:pPr>
        <w:spacing w:after="120"/>
        <w:jc w:val="left"/>
      </w:pPr>
      <w:r>
        <w:rPr>
          <w:b/>
          <w:bCs/>
        </w:rPr>
        <w:t xml:space="preserve">Reconciling the template's other suggested agents against TRO's actual, patent-anchored scope: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2989"/>
        <w:gridCol w:w="4719"/>
      </w:tblGrid>
      <w:tr>
        <w:trPr>
          <w:tblHeader/>
        </w:trPr>
        <w:tc>
          <w:p>
            <w:pPr>
              <w:jc w:val="left"/>
            </w:pPr>
            <w:r>
              <w:rPr>
                <w:b/>
                <w:bCs/>
              </w:rPr>
              <w:t xml:space="preserve">Template's Suggested Agent</w:t>
            </w:r>
          </w:p>
        </w:tc>
        <w:tc>
          <w:p>
            <w:pPr>
              <w:jc w:val="left"/>
            </w:pPr>
            <w:r>
              <w:rPr>
                <w:b/>
                <w:bCs/>
              </w:rPr>
              <w:t xml:space="preserve">Where It Actually Sits in TRO</w:t>
            </w:r>
          </w:p>
        </w:tc>
        <w:tc>
          <w:p>
            <w:pPr>
              <w:jc w:val="left"/>
            </w:pPr>
            <w:r>
              <w:rPr>
                <w:b/>
                <w:bCs/>
              </w:rPr>
              <w:t xml:space="preserve">Verdict</w:t>
            </w:r>
          </w:p>
        </w:tc>
      </w:tr>
      <w:tr>
        <w:tc>
          <w:p>
            <w:pPr>
              <w:jc w:val="left"/>
            </w:pPr>
            <w:r>
              <w:t xml:space="preserve">Root Cause Analysis Agent</w:t>
            </w:r>
          </w:p>
        </w:tc>
        <w:tc>
          <w:p>
            <w:pPr>
              <w:jc w:val="left"/>
            </w:pPr>
            <w:r>
              <w:t xml:space="preserve">Nowhere — TRO never ingests infrastructure telemetry or logs</w:t>
            </w:r>
          </w:p>
        </w:tc>
        <w:tc>
          <w:p>
            <w:pPr>
              <w:jc w:val="left"/>
            </w:pPr>
            <w:r>
              <w:rPr>
                <w:b/>
                <w:bCs/>
              </w:rPr>
              <w:t xml:space="preserve">Genuinely out of scope.</w:t>
            </w:r>
            <w:r>
              <w:t xml:space="preserve"> RCA is a different, harder, higher-risk problem than pre-submission orchestration. Folding it in doubles the technical surface area for no benefit to the actual thesis, and blurs the "pre-submission" claim boundary the patent depends on.</w:t>
            </w:r>
          </w:p>
        </w:tc>
      </w:tr>
      <w:tr>
        <w:tc>
          <w:p>
            <w:pPr>
              <w:jc w:val="left"/>
            </w:pPr>
            <w:r>
              <w:t xml:space="preserve">Planning Agent</w:t>
            </w:r>
          </w:p>
        </w:tc>
        <w:tc>
          <w:p>
            <w:pPr>
              <w:jc w:val="left"/>
            </w:pPr>
            <w:r>
              <w:t xml:space="preserve">Partially the Central Orchestrator, partially Agent 2's internal Planner sub-component</w:t>
            </w:r>
          </w:p>
        </w:tc>
        <w:tc>
          <w:p>
            <w:pPr>
              <w:jc w:val="left"/>
            </w:pPr>
            <w:r>
              <w:t xml:space="preserve">TRO's "planning" is conversational (what to ask next, whether to gate) — not task/action planning in the ReAct/AutoGPT sense. Worth stating this distinction directly.</w:t>
            </w:r>
          </w:p>
        </w:tc>
      </w:tr>
      <w:tr>
        <w:tc>
          <w:p>
            <w:pPr>
              <w:jc w:val="left"/>
            </w:pPr>
            <w:r>
              <w:t xml:space="preserve">Automation Agent</w:t>
            </w:r>
          </w:p>
        </w:tc>
        <w:tc>
          <w:p>
            <w:pPr>
              <w:jc w:val="left"/>
            </w:pPr>
            <w:r>
              <w:t xml:space="preserve">Agent 6, narrowly</w:t>
            </w:r>
          </w:p>
        </w:tc>
        <w:tc>
          <w:p>
            <w:pPr>
              <w:jc w:val="left"/>
            </w:pPr>
            <w:r>
              <w:t xml:space="preserve">TRO does automate an action — creating a real ticket record — just not infrastructure remediation (restarting a service, running a runbook). Don't let "Automation Agent" imply the latter.</w:t>
            </w:r>
          </w:p>
        </w:tc>
      </w:tr>
      <w:tr>
        <w:tc>
          <w:p>
            <w:pPr>
              <w:jc w:val="left"/>
            </w:pPr>
            <w:r>
              <w:t xml:space="preserve">Human Clarification Agent</w:t>
            </w:r>
          </w:p>
        </w:tc>
        <w:tc>
          <w:p>
            <w:pPr>
              <w:jc w:val="left"/>
            </w:pPr>
            <w:r>
              <w:t xml:space="preserve">Agent 2, directly</w:t>
            </w:r>
          </w:p>
        </w:tc>
        <w:tc>
          <w:p>
            <w:pPr>
              <w:jc w:val="left"/>
            </w:pPr>
            <w:r>
              <w:t xml:space="preserve">A real match — Agent 2 already is exactly this.</w:t>
            </w:r>
          </w:p>
        </w:tc>
      </w:tr>
      <w:tr>
        <w:tc>
          <w:p>
            <w:pPr>
              <w:jc w:val="left"/>
            </w:pPr>
            <w:r>
              <w:t xml:space="preserve">Escalation Agent</w:t>
            </w:r>
          </w:p>
        </w:tc>
        <w:tc>
          <w:p>
            <w:pPr>
              <w:jc w:val="left"/>
            </w:pPr>
            <w:r>
              <w:t xml:space="preserve">The Confidence Gate → Human Reviewer Queue path</w:t>
            </w:r>
          </w:p>
        </w:tc>
        <w:tc>
          <w:p>
            <w:pPr>
              <w:jc w:val="left"/>
            </w:pPr>
            <w:r>
              <w:t xml:space="preserve">Exists as gate behavior, not a separate reasoning agent — a deliberate design choice (gates are cheaper and more predictable than another LLM call for this decision). Could become its own microservice for diagram clarity without changing the underlying logic.</w:t>
            </w:r>
          </w:p>
        </w:tc>
      </w:tr>
      <w:tr>
        <w:tc>
          <w:p>
            <w:pPr>
              <w:jc w:val="left"/>
            </w:pPr>
            <w:r>
              <w:t xml:space="preserve">SLA Monitoring Agent</w:t>
            </w:r>
          </w:p>
        </w:tc>
        <w:tc>
          <w:p>
            <w:pPr>
              <w:jc w:val="left"/>
            </w:pPr>
            <w:r>
              <w:t xml:space="preserve">Not present</w:t>
            </w:r>
          </w:p>
        </w:tc>
        <w:tc>
          <w:p>
            <w:pPr>
              <w:jc w:val="left"/>
            </w:pPr>
            <w:r>
              <w:rPr>
                <w:b/>
                <w:bCs/>
              </w:rPr>
              <w:t xml:space="preserve">Deliberately out of scope.</w:t>
            </w:r>
            <w:r>
              <w:t xml:space="preserve"> Priority/SLA tier is assigned once, at classification time, by Agent 5. Ongoing monitoring of an already-dispatched ticket's SLA clock is a post-creation function — Jira/ITSM's job, or a future companion system — and including it would blur the same claim boundary as the RCA agent above.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Technical Feasibility</w:t>
      </w:r>
    </w:p>
    <w:p>
      <w:pPr>
        <w:spacing w:after="120"/>
        <w:jc w:val="left"/>
      </w:pPr>
      <w:r>
        <w:rPr>
          <w:b/>
          <w:bCs/>
        </w:rPr>
        <w:t xml:space="preserve">3-Month Roadmap (Weeks 1–12) — "the demo works," not "the demo is evaluated."</w:t>
      </w:r>
    </w:p>
    <w:p>
      <w:pPr>
        <w:pStyle w:val="ListParagraph"/>
        <w:numPr>
          <w:ilvl w:val="0"/>
          <w:numId w:val="2"/>
        </w:numPr>
        <w:spacing w:after="100"/>
        <w:ind w:start="240"/>
        <w:jc w:val="left"/>
      </w:pPr>
      <w:r>
        <w:t xml:space="preserve">Foundation: Postgres schema, Docker Compose skeleton, Jira sandbox + API token, ChromaDB stood up, SOP/FAQ corpus gathered.</w:t>
      </w:r>
    </w:p>
    <w:p>
      <w:pPr>
        <w:pStyle w:val="ListParagraph"/>
        <w:numPr>
          <w:ilvl w:val="0"/>
          <w:numId w:val="2"/>
        </w:numPr>
        <w:spacing w:after="100"/>
        <w:ind w:start="240"/>
        <w:jc w:val="left"/>
      </w:pPr>
      <w:r>
        <w:t xml:space="preserve">Agents 1–3 functional: intake extraction, completeness gate + Agent 2 slot-tracking, Agent 3 resolution-confidence scoring.</w:t>
      </w:r>
    </w:p>
    <w:p>
      <w:pPr>
        <w:pStyle w:val="ListParagraph"/>
        <w:numPr>
          <w:ilvl w:val="0"/>
          <w:numId w:val="2"/>
        </w:numPr>
        <w:spacing w:after="100"/>
        <w:ind w:start="240"/>
        <w:jc w:val="left"/>
      </w:pPr>
      <w:r>
        <w:t xml:space="preserve">Agent 4 in simplified form only: fixed-threshold duplicate detection, not the full temporal-cluster logic.</w:t>
      </w:r>
    </w:p>
    <w:p>
      <w:pPr>
        <w:pStyle w:val="ListParagraph"/>
        <w:numPr>
          <w:ilvl w:val="0"/>
          <w:numId w:val="2"/>
        </w:numPr>
        <w:spacing w:after="100"/>
        <w:ind w:start="240"/>
        <w:jc w:val="left"/>
      </w:pPr>
      <w:r>
        <w:t xml:space="preserve">Agents 5–6 wired end-to-end on synthetic data; dashboard as a stub.</w:t>
      </w:r>
    </w:p>
    <w:p>
      <w:pPr>
        <w:pStyle w:val="ListParagraph"/>
        <w:numPr>
          <w:ilvl w:val="0"/>
          <w:numId w:val="2"/>
        </w:numPr>
        <w:spacing w:after="100"/>
        <w:ind w:start="240"/>
        <w:jc w:val="left"/>
      </w:pPr>
      <w:r>
        <w:t xml:space="preserve">Start the IDF paperwork now, in parallel — it has its own lead time through VIT's IPR cell and doesn't depend on the code being finished.</w:t>
      </w:r>
    </w:p>
    <w:p>
      <w:pPr>
        <w:pStyle w:val="ListParagraph"/>
        <w:numPr>
          <w:ilvl w:val="0"/>
          <w:numId w:val="2"/>
        </w:numPr>
        <w:spacing w:after="100"/>
        <w:ind w:start="240"/>
        <w:jc w:val="left"/>
      </w:pPr>
      <w:r>
        <w:rPr>
          <w:b/>
          <w:bCs/>
        </w:rPr>
        <w:t xml:space="preserve">Not realistic in 3 months, and it's honest to say so up front:</w:t>
      </w:r>
      <w:r>
        <w:t xml:space="preserve"> a proper θ threshold sweep, the full evaluation suite, a paper draft.</w:t>
      </w:r>
    </w:p>
    <w:p>
      <w:pPr>
        <w:spacing w:after="200"/>
      </w:pPr>
      <w:r>
        <w:t xml:space="preserve"> </w:t>
      </w:r>
    </w:p>
    <w:p>
      <w:pPr>
        <w:spacing w:after="120"/>
        <w:jc w:val="left"/>
      </w:pPr>
      <w:r>
        <w:rPr>
          <w:b/>
          <w:bCs/>
        </w:rPr>
        <w:t xml:space="preserve">6-Month Roadmap (Weeks 1–24) — the full plan, with real buffer.</w:t>
      </w:r>
    </w:p>
    <w:p>
      <w:pPr>
        <w:pStyle w:val="ListParagraph"/>
        <w:numPr>
          <w:ilvl w:val="0"/>
          <w:numId w:val="2"/>
        </w:numPr>
        <w:spacing w:after="100"/>
        <w:ind w:start="240"/>
        <w:jc w:val="left"/>
      </w:pPr>
      <w:r>
        <w:t xml:space="preserve">Everything above, plus: full Agent 4 temporal clustering with an actual threshold sweep; the complete evaluation phase (classification F1, deflection rate + deflection accuracy, correlation precision/recall, the confidence-calibration check from Section 6); Related Work section drafted; full paper draft; panel rehearsal.</w:t>
      </w:r>
    </w:p>
    <w:p>
      <w:pPr>
        <w:pStyle w:val="ListParagraph"/>
        <w:numPr>
          <w:ilvl w:val="0"/>
          <w:numId w:val="2"/>
        </w:numPr>
        <w:spacing w:after="100"/>
        <w:ind w:start="240"/>
        <w:jc w:val="left"/>
      </w:pPr>
      <w:r>
        <w:t xml:space="preserve">IDF should be fully cleared well before month 6 — it's a hard dependency for any public presentation or conference submission, so sequence it early in this window, not as a month-6 task.</w:t>
      </w:r>
    </w:p>
    <w:p>
      <w:pPr>
        <w:spacing w:after="200"/>
      </w:pPr>
      <w:r>
        <w:t xml:space="preserve"> </w:t>
      </w:r>
    </w:p>
    <w:p>
      <w:pPr>
        <w:spacing w:after="120"/>
        <w:jc w:val="left"/>
      </w:pPr>
      <w:r>
        <w:rPr>
          <w:b/>
          <w:bCs/>
        </w:rPr>
        <w:t xml:space="preserve">Research Roadmap (post-graduation, contingent on real data):</w:t>
      </w:r>
    </w:p>
    <w:p>
      <w:pPr>
        <w:pStyle w:val="ListParagraph"/>
        <w:numPr>
          <w:ilvl w:val="0"/>
          <w:numId w:val="2"/>
        </w:numPr>
        <w:spacing w:after="100"/>
        <w:ind w:start="240"/>
        <w:jc w:val="left"/>
      </w:pPr>
      <w:r>
        <w:t xml:space="preserve">Swap in the XLNet/HGB phased upgrade for Agent 5 once real ticket data accumulates from an actual pilot.</w:t>
      </w:r>
    </w:p>
    <w:p>
      <w:pPr>
        <w:pStyle w:val="ListParagraph"/>
        <w:numPr>
          <w:ilvl w:val="0"/>
          <w:numId w:val="2"/>
        </w:numPr>
        <w:spacing w:after="100"/>
        <w:ind w:start="240"/>
        <w:jc w:val="left"/>
      </w:pPr>
      <w:r>
        <w:t xml:space="preserve">Replace synthetic-data evaluation with real production evaluation if a pilot deployment happens — this directly addresses the single biggest limitation named throughout this document.</w:t>
      </w:r>
    </w:p>
    <w:p>
      <w:pPr>
        <w:pStyle w:val="ListParagraph"/>
        <w:numPr>
          <w:ilvl w:val="0"/>
          <w:numId w:val="2"/>
        </w:numPr>
        <w:spacing w:after="100"/>
        <w:ind w:start="240"/>
        <w:jc w:val="left"/>
      </w:pPr>
      <w:r>
        <w:t xml:space="preserve">Multi-tenant architecture work, if the MSP-client licensing angle is pursued for real (Section 7).</w:t>
      </w:r>
    </w:p>
    <w:p>
      <w:pPr>
        <w:pStyle w:val="ListParagraph"/>
        <w:numPr>
          <w:ilvl w:val="0"/>
          <w:numId w:val="2"/>
        </w:numPr>
        <w:spacing w:after="100"/>
        <w:ind w:start="240"/>
        <w:jc w:val="left"/>
      </w:pPr>
      <w:r>
        <w:t xml:space="preserve">TRIANGLE-style voting/negotiation for Agent 5, only if real error analysis actually justifies the added latency/cost.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6686"/>
      </w:tblGrid>
      <w:tr>
        <w:trPr>
          <w:tblHeader/>
        </w:trPr>
        <w:tc>
          <w:p>
            <w:pPr>
              <w:jc w:val="left"/>
            </w:pPr>
            <w:r>
              <w:rPr>
                <w:b/>
                <w:bCs/>
              </w:rPr>
              <w:t xml:space="preserve">Bucket</w:t>
            </w:r>
          </w:p>
        </w:tc>
        <w:tc>
          <w:p>
            <w:pPr>
              <w:jc w:val="left"/>
            </w:pPr>
            <w:r>
              <w:rPr>
                <w:b/>
                <w:bCs/>
              </w:rPr>
              <w:t xml:space="preserve">Contents</w:t>
            </w:r>
          </w:p>
        </w:tc>
      </w:tr>
      <w:tr>
        <w:tc>
          <w:p>
            <w:pPr>
              <w:jc w:val="left"/>
            </w:pPr>
            <w:r>
              <w:t xml:space="preserve">Core</w:t>
            </w:r>
          </w:p>
        </w:tc>
        <w:tc>
          <w:p>
            <w:pPr>
              <w:jc w:val="left"/>
            </w:pPr>
            <w:r>
              <w:t xml:space="preserve">Agents 1, 2, 3, 5, 6; both gates as literal control-flow, not just LLM reasoning; Jira JSM dispatch; Postgres audit trail; basic dashboard</w:t>
            </w:r>
          </w:p>
        </w:tc>
      </w:tr>
      <w:tr>
        <w:tc>
          <w:p>
            <w:pPr>
              <w:jc w:val="left"/>
            </w:pPr>
            <w:r>
              <w:t xml:space="preserve">Nice-to-have</w:t>
            </w:r>
          </w:p>
        </w:tc>
        <w:tc>
          <w:p>
            <w:pPr>
              <w:jc w:val="left"/>
            </w:pPr>
            <w:r>
              <w:t xml:space="preserve">Full Agent 4 temporal clustering (vs. a threshold flag); Power BI (vs. Streamlit); described-not-built adapters for other platforms</w:t>
            </w:r>
          </w:p>
        </w:tc>
      </w:tr>
      <w:tr>
        <w:tc>
          <w:p>
            <w:pPr>
              <w:jc w:val="left"/>
            </w:pPr>
            <w:r>
              <w:t xml:space="preserve">Overly ambitious for this timeline</w:t>
            </w:r>
          </w:p>
        </w:tc>
        <w:tc>
          <w:p>
            <w:pPr>
              <w:jc w:val="left"/>
            </w:pPr>
            <w:r>
              <w:t xml:space="preserve">TRIANGLE-style voting; a fine-tuned classifier upgrade within the capstone window; a full RL feedback loop; RCA/Automation/SLA-monitoring agents (Section 8); production-grade multi-tenant hardening; a live Kyndryl-scale integration for the actual demo (a sandbox is the realistic and correct choice)</w:t>
            </w:r>
          </w:p>
        </w:tc>
      </w:tr>
    </w:tbl>
    <w:p>
      <w:pPr>
        <w:spacing w:before="240"/>
      </w:pPr>
      <w:r>
        <w:t xml:space="preserve"> </w:t>
      </w:r>
    </w:p>
    <w:p>
      <w:pPr>
        <w:spacing w:after="120"/>
        <w:jc w:val="left"/>
      </w:pPr>
      <w:r>
        <w:rPr>
          <w:b/>
          <w:bCs/>
        </w:rPr>
        <w:t xml:space="preserve">Two cheap fixes worth adding now, found during this review, neither of which is in the current plan:</w:t>
      </w:r>
    </w:p>
    <w:p>
      <w:pPr>
        <w:spacing w:after="100"/>
        <w:ind w:start="20"/>
        <w:jc w:val="left"/>
      </w:pPr>
      <w:r>
        <w:t xml:space="preserve">1. </w:t>
      </w:r>
      <w:r>
        <w:t xml:space="preserve">A hard cap on clarification turns (Section 3) — protects the live demo from the documented Refusal-persona failure mode.</w:t>
      </w:r>
    </w:p>
    <w:p>
      <w:pPr>
        <w:spacing w:after="100"/>
        <w:ind w:start="20"/>
        <w:jc w:val="left"/>
      </w:pPr>
      <w:r>
        <w:t xml:space="preserve">2. </w:t>
      </w:r>
      <w:r>
        <w:t xml:space="preserve">A confidence-calibration check (Section 6, Metric 6) — reuses the classification eval set that's already being built, and is a rigor addition beyond what any of the twelve reviewed papers bothered to check for their own systems.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Architecture Diagram</w:t>
      </w:r>
    </w:p>
    <w:p>
      <w:pPr>
        <w:spacing w:after="120"/>
        <w:jc w:val="left"/>
      </w:pPr>
      <w:r>
        <w:t xml:space="preserve">The diagram below is TRO's actual six-agent architecture, mapped onto the requested layer names as follows: the "Planning Layer" is TRO's Correlation Layer (the layer deciding merge / cluster / proceed); the "Automation Layer" is TRO's Dispatch Layer (ticket creation and audit, not infrastructure remediation). Solid arrows are the live data/control flow; dotted arrows are orchestrator control and the Jira read-back loop. Only conversational text intake and Jira are live inputs in v1 — ServiceNow, Email, Monitoring, and Logs are deliberately left out of the diagram rather than shown as if already wired in, consistent with Section 8's scoping note.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flowchart TD    </w:t>
      </w:r>
      <w:r>
        <w:br/>
      </w:r>
      <w:r>
        <w:rPr>
          <w:rFonts w:ascii="Courier New" w:cs="Courier New" w:eastAsia="Courier New" w:hAnsi="Courier New"/>
          <w:color w:val="FFFFFF"/>
          <w:sz w:val="20"/>
          <w:szCs w:val="20"/>
        </w:rPr>
        <w:t xml:space="preserve">        U["User: plain-English request"] --&gt; A1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subgraph L1["Intake and Clarification"]    </w:t>
      </w:r>
      <w:r>
        <w:br/>
      </w:r>
      <w:r>
        <w:rPr>
          <w:rFonts w:ascii="Courier New" w:cs="Courier New" w:eastAsia="Courier New" w:hAnsi="Courier New"/>
          <w:color w:val="FFFFFF"/>
          <w:sz w:val="20"/>
          <w:szCs w:val="20"/>
        </w:rPr>
        <w:t xml:space="preserve">            A1["Agent 1: Intake and Entity Extraction"] --&gt; CG{"Completeness Gate"}    </w:t>
      </w:r>
      <w:r>
        <w:br/>
      </w:r>
      <w:r>
        <w:rPr>
          <w:rFonts w:ascii="Courier New" w:cs="Courier New" w:eastAsia="Courier New" w:hAnsi="Courier New"/>
          <w:color w:val="FFFFFF"/>
          <w:sz w:val="20"/>
          <w:szCs w:val="20"/>
        </w:rPr>
        <w:t xml:space="preserve">            CG --&gt;|incomplete| A2["Agent 2: Adaptive Clarifier"]    </w:t>
      </w:r>
      <w:r>
        <w:br/>
      </w:r>
      <w:r>
        <w:rPr>
          <w:rFonts w:ascii="Courier New" w:cs="Courier New" w:eastAsia="Courier New" w:hAnsi="Courier New"/>
          <w:color w:val="FFFFFF"/>
          <w:sz w:val="20"/>
          <w:szCs w:val="20"/>
        </w:rPr>
        <w:t xml:space="preserve">            A2 --&gt; A1    </w:t>
      </w:r>
      <w:r>
        <w:br/>
      </w:r>
      <w:r>
        <w:rPr>
          <w:rFonts w:ascii="Courier New" w:cs="Courier New" w:eastAsia="Courier New" w:hAnsi="Courier New"/>
          <w:color w:val="FFFFFF"/>
          <w:sz w:val="20"/>
          <w:szCs w:val="20"/>
        </w:rPr>
        <w:t xml:space="preserve">        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CG --&gt;|complete| A3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subgraph L2["Knowledge Layer"]    </w:t>
      </w:r>
      <w:r>
        <w:br/>
      </w:r>
      <w:r>
        <w:rPr>
          <w:rFonts w:ascii="Courier New" w:cs="Courier New" w:eastAsia="Courier New" w:hAnsi="Courier New"/>
          <w:color w:val="FFFFFF"/>
          <w:sz w:val="20"/>
          <w:szCs w:val="20"/>
        </w:rPr>
        <w:t xml:space="preserve">            A3["Agent 3: KB Retrieval and Deflection Gate"]    </w:t>
      </w:r>
      <w:r>
        <w:br/>
      </w:r>
      <w:r>
        <w:rPr>
          <w:rFonts w:ascii="Courier New" w:cs="Courier New" w:eastAsia="Courier New" w:hAnsi="Courier New"/>
          <w:color w:val="FFFFFF"/>
          <w:sz w:val="20"/>
          <w:szCs w:val="20"/>
        </w:rPr>
        <w:t xml:space="preserve">            VDB[("ChromaDB / pgvector&lt;br/&gt;SOP and FAQ embeddings")]    </w:t>
      </w:r>
      <w:r>
        <w:br/>
      </w:r>
      <w:r>
        <w:rPr>
          <w:rFonts w:ascii="Courier New" w:cs="Courier New" w:eastAsia="Courier New" w:hAnsi="Courier New"/>
          <w:color w:val="FFFFFF"/>
          <w:sz w:val="20"/>
          <w:szCs w:val="20"/>
        </w:rPr>
        <w:t xml:space="preserve">            A3 &lt;--&gt; VDB    </w:t>
      </w:r>
      <w:r>
        <w:br/>
      </w:r>
      <w:r>
        <w:rPr>
          <w:rFonts w:ascii="Courier New" w:cs="Courier New" w:eastAsia="Courier New" w:hAnsi="Courier New"/>
          <w:color w:val="FFFFFF"/>
          <w:sz w:val="20"/>
          <w:szCs w:val="20"/>
        </w:rPr>
        <w:t xml:space="preserve">        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A3 --&gt;|resolution confidence high| SR["Self-resolution offered to user"]    </w:t>
      </w:r>
      <w:r>
        <w:br/>
      </w:r>
      <w:r>
        <w:rPr>
          <w:rFonts w:ascii="Courier New" w:cs="Courier New" w:eastAsia="Courier New" w:hAnsi="Courier New"/>
          <w:color w:val="FFFFFF"/>
          <w:sz w:val="20"/>
          <w:szCs w:val="20"/>
        </w:rPr>
        <w:t xml:space="preserve">        SR --&gt;|user confirms resolved| END1["Conversation closed, no ticket created"]    </w:t>
      </w:r>
      <w:r>
        <w:br/>
      </w:r>
      <w:r>
        <w:rPr>
          <w:rFonts w:ascii="Courier New" w:cs="Courier New" w:eastAsia="Courier New" w:hAnsi="Courier New"/>
          <w:color w:val="FFFFFF"/>
          <w:sz w:val="20"/>
          <w:szCs w:val="20"/>
        </w:rPr>
        <w:t xml:space="preserve">        SR --&gt;|user rejects fix| A4    </w:t>
      </w:r>
      <w:r>
        <w:br/>
      </w:r>
      <w:r>
        <w:rPr>
          <w:rFonts w:ascii="Courier New" w:cs="Courier New" w:eastAsia="Courier New" w:hAnsi="Courier New"/>
          <w:color w:val="FFFFFF"/>
          <w:sz w:val="20"/>
          <w:szCs w:val="20"/>
        </w:rPr>
        <w:t xml:space="preserve">        A3 --&gt;|resolution confidence low| A4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subgraph L3["Correlation Layer (Planning)"]    </w:t>
      </w:r>
      <w:r>
        <w:br/>
      </w:r>
      <w:r>
        <w:rPr>
          <w:rFonts w:ascii="Courier New" w:cs="Courier New" w:eastAsia="Courier New" w:hAnsi="Courier New"/>
          <w:color w:val="FFFFFF"/>
          <w:sz w:val="20"/>
          <w:szCs w:val="20"/>
        </w:rPr>
        <w:t xml:space="preserve">            A4["Agent 4: Correlation Engine"]    </w:t>
      </w:r>
      <w:r>
        <w:br/>
      </w:r>
      <w:r>
        <w:rPr>
          <w:rFonts w:ascii="Courier New" w:cs="Courier New" w:eastAsia="Courier New" w:hAnsi="Courier New"/>
          <w:color w:val="FFFFFF"/>
          <w:sz w:val="20"/>
          <w:szCs w:val="20"/>
        </w:rPr>
        <w:t xml:space="preserve">            OT[("Open ticket pool&lt;br/&gt;Jira read-back / Postgres cache")]    </w:t>
      </w:r>
      <w:r>
        <w:br/>
      </w:r>
      <w:r>
        <w:rPr>
          <w:rFonts w:ascii="Courier New" w:cs="Courier New" w:eastAsia="Courier New" w:hAnsi="Courier New"/>
          <w:color w:val="FFFFFF"/>
          <w:sz w:val="20"/>
          <w:szCs w:val="20"/>
        </w:rPr>
        <w:t xml:space="preserve">            A4 &lt;--&gt; OT    </w:t>
      </w:r>
      <w:r>
        <w:br/>
      </w:r>
      <w:r>
        <w:rPr>
          <w:rFonts w:ascii="Courier New" w:cs="Courier New" w:eastAsia="Courier New" w:hAnsi="Courier New"/>
          <w:color w:val="FFFFFF"/>
          <w:sz w:val="20"/>
          <w:szCs w:val="20"/>
        </w:rPr>
        <w:t xml:space="preserve">        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A4 --&gt;|duplicate found| MERGE["Merge into existing ticket"]    </w:t>
      </w:r>
      <w:r>
        <w:br/>
      </w:r>
      <w:r>
        <w:rPr>
          <w:rFonts w:ascii="Courier New" w:cs="Courier New" w:eastAsia="Courier New" w:hAnsi="Courier New"/>
          <w:color w:val="FFFFFF"/>
          <w:sz w:val="20"/>
          <w:szCs w:val="20"/>
        </w:rPr>
        <w:t xml:space="preserve">        A4 --&gt;|incident cluster detected| INC["Flag as incident-adjacent"]    </w:t>
      </w:r>
      <w:r>
        <w:br/>
      </w:r>
      <w:r>
        <w:rPr>
          <w:rFonts w:ascii="Courier New" w:cs="Courier New" w:eastAsia="Courier New" w:hAnsi="Courier New"/>
          <w:color w:val="FFFFFF"/>
          <w:sz w:val="20"/>
          <w:szCs w:val="20"/>
        </w:rPr>
        <w:t xml:space="preserve">        A4 --&gt;|no match| A5    </w:t>
      </w:r>
      <w:r>
        <w:br/>
      </w:r>
      <w:r>
        <w:rPr>
          <w:rFonts w:ascii="Courier New" w:cs="Courier New" w:eastAsia="Courier New" w:hAnsi="Courier New"/>
          <w:color w:val="FFFFFF"/>
          <w:sz w:val="20"/>
          <w:szCs w:val="20"/>
        </w:rPr>
        <w:t xml:space="preserve">        MERGE --&gt; A5    </w:t>
      </w:r>
      <w:r>
        <w:br/>
      </w:r>
      <w:r>
        <w:rPr>
          <w:rFonts w:ascii="Courier New" w:cs="Courier New" w:eastAsia="Courier New" w:hAnsi="Courier New"/>
          <w:color w:val="FFFFFF"/>
          <w:sz w:val="20"/>
          <w:szCs w:val="20"/>
        </w:rPr>
        <w:t xml:space="preserve">        INC --&gt; A5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subgraph L4["Classification and Routing"]    </w:t>
      </w:r>
      <w:r>
        <w:br/>
      </w:r>
      <w:r>
        <w:rPr>
          <w:rFonts w:ascii="Courier New" w:cs="Courier New" w:eastAsia="Courier New" w:hAnsi="Courier New"/>
          <w:color w:val="FFFFFF"/>
          <w:sz w:val="20"/>
          <w:szCs w:val="20"/>
        </w:rPr>
        <w:t xml:space="preserve">            A5["Agent 5: Classify, Prioritize, Explain"] --&gt; CONF{"Confidence Gate"}    </w:t>
      </w:r>
      <w:r>
        <w:br/>
      </w:r>
      <w:r>
        <w:rPr>
          <w:rFonts w:ascii="Courier New" w:cs="Courier New" w:eastAsia="Courier New" w:hAnsi="Courier New"/>
          <w:color w:val="FFFFFF"/>
          <w:sz w:val="20"/>
          <w:szCs w:val="20"/>
        </w:rPr>
        <w:t xml:space="preserve">        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CONF --&gt;|low confidence| HR["Human reviewer queue&lt;br/&gt;full reasoning trace"]    </w:t>
      </w:r>
      <w:r>
        <w:br/>
      </w:r>
      <w:r>
        <w:rPr>
          <w:rFonts w:ascii="Courier New" w:cs="Courier New" w:eastAsia="Courier New" w:hAnsi="Courier New"/>
          <w:color w:val="FFFFFF"/>
          <w:sz w:val="20"/>
          <w:szCs w:val="20"/>
        </w:rPr>
        <w:t xml:space="preserve">        HR --&gt; A6    </w:t>
      </w:r>
      <w:r>
        <w:br/>
      </w:r>
      <w:r>
        <w:rPr>
          <w:rFonts w:ascii="Courier New" w:cs="Courier New" w:eastAsia="Courier New" w:hAnsi="Courier New"/>
          <w:color w:val="FFFFFF"/>
          <w:sz w:val="20"/>
          <w:szCs w:val="20"/>
        </w:rPr>
        <w:t xml:space="preserve">        CONF --&gt;|high confidence| A6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subgraph L5["Dispatch Layer (Automation) and Audit"]    </w:t>
      </w:r>
      <w:r>
        <w:br/>
      </w:r>
      <w:r>
        <w:rPr>
          <w:rFonts w:ascii="Courier New" w:cs="Courier New" w:eastAsia="Courier New" w:hAnsi="Courier New"/>
          <w:color w:val="FFFFFF"/>
          <w:sz w:val="20"/>
          <w:szCs w:val="20"/>
        </w:rPr>
        <w:t xml:space="preserve">            A6["Agent 6: Ticket Creation and Dispatch"] --&gt; PAL["Platform Adapter Layer"]    </w:t>
      </w:r>
      <w:r>
        <w:br/>
      </w:r>
      <w:r>
        <w:rPr>
          <w:rFonts w:ascii="Courier New" w:cs="Courier New" w:eastAsia="Courier New" w:hAnsi="Courier New"/>
          <w:color w:val="FFFFFF"/>
          <w:sz w:val="20"/>
          <w:szCs w:val="20"/>
        </w:rPr>
        <w:t xml:space="preserve">            PAL --&gt; JIRA[("Jira Service Management&lt;br/&gt;REST API v3")]    </w:t>
      </w:r>
      <w:r>
        <w:br/>
      </w:r>
      <w:r>
        <w:rPr>
          <w:rFonts w:ascii="Courier New" w:cs="Courier New" w:eastAsia="Courier New" w:hAnsi="Courier New"/>
          <w:color w:val="FFFFFF"/>
          <w:sz w:val="20"/>
          <w:szCs w:val="20"/>
        </w:rPr>
        <w:t xml:space="preserve">            A6 --&gt; PG[("PostgreSQL&lt;br/&gt;audit trail and ticket schema")]    </w:t>
      </w:r>
      <w:r>
        <w:br/>
      </w:r>
      <w:r>
        <w:rPr>
          <w:rFonts w:ascii="Courier New" w:cs="Courier New" w:eastAsia="Courier New" w:hAnsi="Courier New"/>
          <w:color w:val="FFFFFF"/>
          <w:sz w:val="20"/>
          <w:szCs w:val="20"/>
        </w:rPr>
        <w:t xml:space="preserve">        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PG --&gt; DASH["Power BI / Streamlit dashboard"]    </w:t>
      </w:r>
      <w:r>
        <w:br/>
      </w:r>
      <w:r>
        <w:rPr>
          <w:rFonts w:ascii="Courier New" w:cs="Courier New" w:eastAsia="Courier New" w:hAnsi="Courier New"/>
          <w:color w:val="FFFFFF"/>
          <w:sz w:val="20"/>
          <w:szCs w:val="20"/>
        </w:rPr>
        <w:t xml:space="preserve">        JIRA -.-&gt;|webhook or 5-min poll| OT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ORC[["Central Orchestrator&lt;br/&gt;state, confidence scores, inter-agent messaging"]]    </w:t>
      </w:r>
      <w:r>
        <w:br/>
      </w:r>
      <w:r>
        <w:rPr>
          <w:rFonts w:ascii="Courier New" w:cs="Courier New" w:eastAsia="Courier New" w:hAnsi="Courier New"/>
          <w:color w:val="FFFFFF"/>
          <w:sz w:val="20"/>
          <w:szCs w:val="20"/>
        </w:rPr>
        <w:t xml:space="preserve">        ORC -.-&gt; A1    </w:t>
      </w:r>
      <w:r>
        <w:br/>
      </w:r>
      <w:r>
        <w:rPr>
          <w:rFonts w:ascii="Courier New" w:cs="Courier New" w:eastAsia="Courier New" w:hAnsi="Courier New"/>
          <w:color w:val="FFFFFF"/>
          <w:sz w:val="20"/>
          <w:szCs w:val="20"/>
        </w:rPr>
        <w:t xml:space="preserve">        ORC -.-&gt; A2    </w:t>
      </w:r>
      <w:r>
        <w:br/>
      </w:r>
      <w:r>
        <w:rPr>
          <w:rFonts w:ascii="Courier New" w:cs="Courier New" w:eastAsia="Courier New" w:hAnsi="Courier New"/>
          <w:color w:val="FFFFFF"/>
          <w:sz w:val="20"/>
          <w:szCs w:val="20"/>
        </w:rPr>
        <w:t xml:space="preserve">        ORC -.-&gt; A3    </w:t>
      </w:r>
      <w:r>
        <w:br/>
      </w:r>
      <w:r>
        <w:rPr>
          <w:rFonts w:ascii="Courier New" w:cs="Courier New" w:eastAsia="Courier New" w:hAnsi="Courier New"/>
          <w:color w:val="FFFFFF"/>
          <w:sz w:val="20"/>
          <w:szCs w:val="20"/>
        </w:rPr>
        <w:t xml:space="preserve">        ORC -.-&gt; A4    </w:t>
      </w:r>
      <w:r>
        <w:br/>
      </w:r>
      <w:r>
        <w:rPr>
          <w:rFonts w:ascii="Courier New" w:cs="Courier New" w:eastAsia="Courier New" w:hAnsi="Courier New"/>
          <w:color w:val="FFFFFF"/>
          <w:sz w:val="20"/>
          <w:szCs w:val="20"/>
        </w:rPr>
        <w:t xml:space="preserve">        ORC -.-&gt; A5    </w:t>
      </w:r>
      <w:r>
        <w:br/>
      </w:r>
      <w:r>
        <w:rPr>
          <w:rFonts w:ascii="Courier New" w:cs="Courier New" w:eastAsia="Courier New" w:hAnsi="Courier New"/>
          <w:color w:val="FFFFFF"/>
          <w:sz w:val="20"/>
          <w:szCs w:val="20"/>
        </w:rPr>
        <w:t xml:space="preserve">        ORC -.-&gt; A6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This sequence — the Completeness Gate firing, a KB deflection closing a conversation with no ticket, two tickets merging into one incident, a dispatched ticket carrying a human-readable rationale — is also the four-beat demo script already identified as the highest-impact panel walkthrough.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Bottom Line</w:t>
      </w:r>
    </w:p>
    <w:p>
      <w:pPr>
        <w:pStyle w:val="ListParagraph"/>
        <w:numPr>
          <w:ilvl w:val="0"/>
          <w:numId w:val="2"/>
        </w:numPr>
        <w:spacing w:after="100"/>
        <w:ind w:start="240"/>
        <w:jc w:val="left"/>
      </w:pPr>
      <w:r>
        <w:rPr>
          <w:b/>
          <w:bCs/>
        </w:rPr>
        <w:t xml:space="preserve">Title:</w:t>
      </w:r>
      <w:r>
        <w:t xml:space="preserve"> go with #1 — leads with "pre-submission." Patent and paper titles don't need to match.</w:t>
      </w:r>
    </w:p>
    <w:p>
      <w:pPr>
        <w:pStyle w:val="ListParagraph"/>
        <w:numPr>
          <w:ilvl w:val="0"/>
          <w:numId w:val="2"/>
        </w:numPr>
        <w:spacing w:after="100"/>
        <w:ind w:start="240"/>
        <w:jc w:val="left"/>
      </w:pPr>
      <w:r>
        <w:rPr>
          <w:b/>
          <w:bCs/>
        </w:rPr>
        <w:t xml:space="preserve">Novelty:</w:t>
      </w:r>
      <w:r>
        <w:t xml:space="preserve"> one real architectural claim (pre-creation gating) with three demonstrations of uneven strength, not four equal inventions. Claim #4 (explainable rationale) is the weakest as pure research — reposition it as a product differentiator.</w:t>
      </w:r>
    </w:p>
    <w:p>
      <w:pPr>
        <w:pStyle w:val="ListParagraph"/>
        <w:numPr>
          <w:ilvl w:val="0"/>
          <w:numId w:val="2"/>
        </w:numPr>
        <w:spacing w:after="100"/>
        <w:ind w:start="240"/>
        <w:jc w:val="left"/>
      </w:pPr>
      <w:r>
        <w:rPr>
          <w:b/>
          <w:bCs/>
        </w:rPr>
        <w:t xml:space="preserve">Architecture:</w:t>
      </w:r>
      <w:r>
        <w:t xml:space="preserve"> don't add Root Cause Analysis, Automation, or SLA Monitoring agents — they dilute the patent's claim boundary for no benefit. Do be upfront that 3 of the 6 "agents" (1, 4, 6) are really deterministic workflow stages.</w:t>
      </w:r>
    </w:p>
    <w:p>
      <w:pPr>
        <w:pStyle w:val="ListParagraph"/>
        <w:numPr>
          <w:ilvl w:val="0"/>
          <w:numId w:val="2"/>
        </w:numPr>
        <w:spacing w:after="100"/>
        <w:ind w:start="240"/>
        <w:jc w:val="left"/>
      </w:pPr>
      <w:r>
        <w:rPr>
          <w:b/>
          <w:bCs/>
        </w:rPr>
        <w:t xml:space="preserve">Metrics:</w:t>
      </w:r>
      <w:r>
        <w:t xml:space="preserve"> MTTR/FRT/SLA compliance/real cost savings cannot be honestly measured on synthetic data — say so directly rather than projecting a number. Add a deflection-accuracy check and a confidence-calibration check; both are cheap and both are currently missing.</w:t>
      </w:r>
    </w:p>
    <w:p>
      <w:pPr>
        <w:pStyle w:val="ListParagraph"/>
        <w:numPr>
          <w:ilvl w:val="0"/>
          <w:numId w:val="2"/>
        </w:numPr>
        <w:spacing w:after="100"/>
        <w:ind w:start="240"/>
        <w:jc w:val="left"/>
      </w:pPr>
      <w:r>
        <w:rPr>
          <w:b/>
          <w:bCs/>
        </w:rPr>
        <w:t xml:space="preserve">Impact:</w:t>
      </w:r>
      <w:r>
        <w:t xml:space="preserve"> publishable at the TRIANGLE/TickIt applied-systems tier, not a core-ML venue. Name the multi-tenancy gap and the cost-per-ticket economics before an evaluator finds them.</w:t>
      </w:r>
    </w:p>
    <w:p>
      <w:pPr>
        <w:pStyle w:val="ListParagraph"/>
        <w:numPr>
          <w:ilvl w:val="0"/>
          <w:numId w:val="2"/>
        </w:numPr>
        <w:spacing w:after="100"/>
        <w:ind w:start="240"/>
        <w:jc w:val="left"/>
      </w:pPr>
      <w:r>
        <w:rPr>
          <w:b/>
          <w:bCs/>
        </w:rPr>
        <w:t xml:space="preserve">Feasibility:</w:t>
      </w:r>
      <w:r>
        <w:t xml:space="preserve"> the full plan is realistically a 6-month window, not 3. Start the IDF paperwork now, in parallel with the build — it has its own lead time.</w:t>
      </w:r>
    </w:p>
    <w:p>
      <w:pPr>
        <w:pStyle w:val="ListParagraph"/>
        <w:numPr>
          <w:ilvl w:val="0"/>
          <w:numId w:val="2"/>
        </w:numPr>
        <w:spacing w:after="100"/>
        <w:ind w:start="240"/>
        <w:jc w:val="left"/>
      </w:pPr>
      <w:r>
        <w:rPr>
          <w:b/>
          <w:bCs/>
        </w:rPr>
        <w:t xml:space="preserve">Process note:</w:t>
      </w:r>
      <w:r>
        <w:t xml:space="preserve"> this document's Section 4 comparison table and honesty-ranking are close to ready-made material for the Related Work section that's next on the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2026-07-21T16:16:12.996Z</dcterms:created>
  <dcterms:modified xsi:type="dcterms:W3CDTF">2026-07-21T16:16:12.996Z</dcterms:modified>
</cp:coreProperties>
</file>

<file path=docProps/custom.xml><?xml version="1.0" encoding="utf-8"?>
<Properties xmlns="http://schemas.openxmlformats.org/officeDocument/2006/custom-properties" xmlns:vt="http://schemas.openxmlformats.org/officeDocument/2006/docPropsVTypes"/>
</file>