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b/>
          <w:bCs/>
          <w:color w:val="595959"/>
          <w:sz w:val="20"/>
          <w:szCs w:val="20"/>
        </w:rPr>
        <w:t xml:space="preserve">TURINGZ · GROUP 74 · UNIVERSITY OF MORATUWA</w:t>
      </w:r>
    </w:p>
    <w:p>
      <w:pPr>
        <w:pBdr>
          <w:bottom w:val="single" w:color="2E75B6" w:sz="8" w:space="6"/>
        </w:pBdr>
        <w:spacing w:after="0" w:before="80"/>
        <w:jc w:val="center"/>
      </w:pPr>
      <w:r>
        <w:t xml:space="preserve"/>
      </w:r>
    </w:p>
    <w:p>
      <w:pPr>
        <w:spacing w:after="0" w:before="360"/>
        <w:jc w:val="center"/>
      </w:pPr>
      <w:r>
        <w:rPr>
          <w:b/>
          <w:bCs/>
          <w:color w:val="1F4E79"/>
          <w:sz w:val="48"/>
          <w:szCs w:val="48"/>
        </w:rPr>
        <w:t xml:space="preserve">Module 3 — Cost-Aware Adaptive Control</w:t>
      </w:r>
    </w:p>
    <w:p>
      <w:pPr>
        <w:spacing w:after="0" w:before="60"/>
        <w:jc w:val="center"/>
      </w:pPr>
      <w:r>
        <w:rPr>
          <w:b/>
          <w:bCs/>
          <w:color w:val="1F4E79"/>
          <w:sz w:val="48"/>
          <w:szCs w:val="48"/>
        </w:rPr>
        <w:t xml:space="preserve">and Deployment of the Hybrid PDE Solver</w:t>
      </w:r>
    </w:p>
    <w:p>
      <w:pPr>
        <w:spacing w:after="0" w:before="260"/>
        <w:jc w:val="center"/>
      </w:pPr>
      <w:r>
        <w:rPr>
          <w:i/>
          <w:iCs/>
          <w:color w:val="595959"/>
          <w:sz w:val="26"/>
          <w:szCs w:val="26"/>
        </w:rPr>
        <w:t xml:space="preserve">A complete, step-by-step build guide — from zero knowledge to a working, demonstrable module</w:t>
      </w:r>
    </w:p>
    <w:p>
      <w:pPr>
        <w:spacing w:after="0" w:before="700"/>
        <w:jc w:val="center"/>
      </w:pPr>
      <w:r>
        <w:rPr>
          <w:b/>
          <w:bCs/>
          <w:color w:val="595959"/>
          <w:sz w:val="20"/>
          <w:szCs w:val="20"/>
        </w:rPr>
        <w:t xml:space="preserve">Module owner</w:t>
      </w:r>
    </w:p>
    <w:p>
      <w:pPr>
        <w:spacing w:after="0" w:before="40"/>
        <w:jc w:val="center"/>
      </w:pPr>
      <w:r>
        <w:rPr>
          <w:sz w:val="26"/>
          <w:szCs w:val="26"/>
        </w:rPr>
        <w:t xml:space="preserve">Mendis B.N.D.  (214133E)</w:t>
      </w:r>
    </w:p>
    <w:p>
      <w:pPr>
        <w:spacing w:after="0" w:before="220"/>
        <w:jc w:val="center"/>
      </w:pPr>
      <w:r>
        <w:rPr>
          <w:color w:val="595959"/>
          <w:sz w:val="20"/>
          <w:szCs w:val="20"/>
        </w:rPr>
        <w:t xml:space="preserve">Project: Hybrid Machine Learning–Numerical Methods for PDE Extrapolation</w:t>
      </w:r>
    </w:p>
    <w:p>
      <w:pPr>
        <w:spacing w:after="0" w:before="40"/>
        <w:jc w:val="center"/>
      </w:pPr>
      <w:r>
        <w:rPr>
          <w:color w:val="595959"/>
          <w:sz w:val="20"/>
          <w:szCs w:val="20"/>
        </w:rPr>
        <w:t xml:space="preserve">Benchmark: 1D viscous Burgers equation   ·   A trust-gated, cost-aware hybrid solver</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0. How to read this guide</w:t>
      </w:r>
    </w:p>
    <w:p>
      <w:pPr>
        <w:spacing w:after="140" w:line="276"/>
      </w:pPr>
      <w:r>
        <w:t xml:space="preserve">You own Module 3 of the Turingz hybrid solver: </w:t>
      </w:r>
      <w:r>
        <w:rPr>
          <w:b/>
          <w:bCs/>
        </w:rPr>
        <w:t xml:space="preserve">Cost-Aware Adaptive Control and Deployment</w:t>
      </w:r>
      <w:r>
        <w:t xml:space="preserve">. Your job is to take the fast machine-learning (ML) solver and the accurate numerical solver that already exist in the project, and build the part that decides </w:t>
      </w:r>
      <w:r>
        <w:rPr>
          <w:i/>
          <w:iCs/>
        </w:rPr>
        <w:t xml:space="preserve">how much</w:t>
      </w:r>
      <w:r>
        <w:t xml:space="preserve"> numerical computation to spend, </w:t>
      </w:r>
      <w:r>
        <w:rPr>
          <w:i/>
          <w:iCs/>
        </w:rPr>
        <w:t xml:space="preserve">when</w:t>
      </w:r>
      <w:r>
        <w:t xml:space="preserve"> to spend it, and then package the whole thing as a runnable, tunable system that a user (or your evaluation panel) can drive with a single knob.</w:t>
      </w:r>
    </w:p>
    <w:p>
      <w:pPr>
        <w:spacing w:after="140" w:line="276"/>
      </w:pPr>
      <w:r>
        <w:rPr>
          <w:b/>
          <w:bCs/>
        </w:rPr>
        <w:t xml:space="preserve">This guide assumes you know basic Python and nothing else. </w:t>
      </w:r>
      <w:r>
        <w:t xml:space="preserve">Every concept you need is introduced before it is used. The guide is split into numbered stages that follow the real build order. Within each stage, every step is written in the same four-part shape so you always know what you are doing and why:</w:t>
      </w:r>
    </w:p>
    <w:p>
      <w:pPr>
        <w:spacing w:after="120" w:line="276"/>
      </w:pPr>
      <w:r>
        <w:rPr>
          <w:b/>
          <w:bCs/>
          <w:color w:val="1F4E79"/>
        </w:rPr>
        <w:t xml:space="preserve">WHAT  </w:t>
      </w:r>
      <w:r>
        <w:t xml:space="preserve">the concrete thing you produce in this step.</w:t>
      </w:r>
    </w:p>
    <w:p>
      <w:pPr>
        <w:spacing w:after="120" w:line="276"/>
      </w:pPr>
      <w:r>
        <w:rPr>
          <w:b/>
          <w:bCs/>
          <w:color w:val="1F4E79"/>
        </w:rPr>
        <w:t xml:space="preserve">WHY  </w:t>
      </w:r>
      <w:r>
        <w:t xml:space="preserve">the reason this step exists — what breaks if you skip it.</w:t>
      </w:r>
    </w:p>
    <w:p>
      <w:pPr>
        <w:spacing w:after="120" w:line="276"/>
      </w:pPr>
      <w:r>
        <w:rPr>
          <w:b/>
          <w:bCs/>
          <w:color w:val="1F4E79"/>
        </w:rPr>
        <w:t xml:space="preserve">HOW  </w:t>
      </w:r>
      <w:r>
        <w:t xml:space="preserve">the method, described conceptually (no code listings), with the design choices spelled out.</w:t>
      </w:r>
    </w:p>
    <w:p>
      <w:pPr>
        <w:pBdr>
          <w:left w:val="single" w:color="C9A227" w:sz="18" w:space="8"/>
        </w:pBdr>
        <w:shd w:fill="FBF3D9" w:val="clear"/>
        <w:spacing w:after="160" w:before="60" w:line="272"/>
        <w:ind w:left="120" w:right="120"/>
      </w:pPr>
      <w:r>
        <w:rPr>
          <w:b/>
          <w:bCs/>
          <w:color w:val="7A5C00"/>
        </w:rPr>
        <w:t xml:space="preserve">Evidence — </w:t>
      </w:r>
      <w:r>
        <w:t xml:space="preserve">the proof that the choice is sound — either a published source, or a measured result that already exists in your own repository. Every non-trivial decision in this guide carries one.</w:t>
      </w:r>
    </w:p>
    <w:p>
      <w:pPr>
        <w:spacing w:after="140" w:line="276"/>
      </w:pPr>
      <w:r>
        <w:rPr>
          <w:b/>
          <w:bCs/>
        </w:rPr>
        <w:t xml:space="preserve">Scope note. </w:t>
      </w:r>
      <w:r>
        <w:t xml:space="preserve">This is a guide for </w:t>
      </w:r>
      <w:r>
        <w:rPr>
          <w:i/>
          <w:iCs/>
        </w:rPr>
        <w:t xml:space="preserve">your</w:t>
      </w:r>
      <w:r>
        <w:t xml:space="preserve"> module. Two teammates build the other two modules in parallel: Module 1 (Sandeepa) produces the </w:t>
      </w:r>
      <w:r>
        <w:rPr>
          <w:b/>
          <w:bCs/>
        </w:rPr>
        <w:t xml:space="preserve">trust signal</w:t>
      </w:r>
      <w:r>
        <w:t xml:space="preserve"> that tells you when the ML model is failing; Module 2 (Dharmapala) produces the </w:t>
      </w:r>
      <w:r>
        <w:rPr>
          <w:b/>
          <w:bCs/>
        </w:rPr>
        <w:t xml:space="preserve">coupling</w:t>
      </w:r>
      <w:r>
        <w:t xml:space="preserve"> that actually injects numerical correction. You do not wait for them — you develop against simple stand-ins (“stubs”) and swap in the real modules at the end. This is the single most important idea in the whole plan and Stage 0 sets it up.</w:t>
      </w:r>
    </w:p>
    <w:p>
      <w:pPr>
        <w:pBdr>
          <w:left w:val="single" w:color="C9A227" w:sz="18" w:space="8"/>
        </w:pBdr>
        <w:shd w:fill="FBF3D9" w:val="clear"/>
        <w:spacing w:after="160" w:before="60" w:line="272"/>
        <w:ind w:left="120" w:right="120"/>
      </w:pPr>
      <w:r>
        <w:rPr>
          <w:b/>
          <w:bCs/>
          <w:color w:val="7A5C00"/>
        </w:rPr>
        <w:t xml:space="preserve">Evidence — </w:t>
      </w:r>
      <w:r>
        <w:rPr>
          <w:i/>
          <w:iCs/>
        </w:rPr>
        <w:t xml:space="preserve">Restructured Research Plan</w:t>
      </w:r>
      <w:r>
        <w:t xml:space="preserve">, Section 7 (“Module 3 — Mendis”) and Section 8 (“Integration”): the three modules “communicate only through fixed data contracts … each member can build and test their module completely independently, using a simple stand-in (‘stub’) for the others.” Your module “needs only the two solvers and a parameterised trigger (a knob standing in for M1’s trust signal).”</w:t>
      </w:r>
    </w:p>
    <w:p>
      <w:pPr>
        <w:pStyle w:val="Heading1"/>
      </w:pPr>
      <w:r>
        <w:t xml:space="preserve">1. Understand the problem and your module</w:t>
      </w:r>
    </w:p>
    <w:p>
      <w:pPr>
        <w:spacing w:after="140" w:line="276"/>
      </w:pPr>
      <w:r>
        <w:rPr>
          <w:b/>
          <w:bCs/>
        </w:rPr>
        <w:t xml:space="preserve">Do not write any code yet. </w:t>
      </w:r>
      <w:r>
        <w:t xml:space="preserve">This stage builds the mental model. If you skip it you will build the right code for the wrong problem. Read it once now, and return to Section 1.4–1.5 whenever you are unsure what your module is responsible for.</w:t>
      </w:r>
    </w:p>
    <w:p>
      <w:pPr>
        <w:pStyle w:val="Heading2"/>
      </w:pPr>
      <w:r>
        <w:t xml:space="preserve">1.1  The big picture: two kinds of solver, and the gap between them</w:t>
      </w:r>
    </w:p>
    <w:p>
      <w:pPr>
        <w:spacing w:after="140" w:line="276"/>
      </w:pPr>
      <w:r>
        <w:t xml:space="preserve">A partial differential equation (PDE) describes how a physical field — temperature, pressure, a fluid velocity — changes over space and time. “Solving” it means starting from an initial shape and marching it forward in time. There are two families of solver, and each has a weakness the other does not:</w:t>
      </w:r>
    </w:p>
    <w:p>
      <w:pPr>
        <w:pStyle w:val="ListParagraph"/>
        <w:numPr>
          <w:ilvl w:val="0"/>
          <w:numId w:val="2"/>
        </w:numPr>
        <w:spacing w:after="70" w:line="270"/>
      </w:pPr>
      <w:r>
        <w:rPr>
          <w:b/>
          <w:bCs/>
        </w:rPr>
        <w:t xml:space="preserve">Classical numerical solvers</w:t>
      </w:r>
      <w:r>
        <w:t xml:space="preserve"> (finite-difference, spectral, the analytical Cole–Hopf method) are accurate and trustworthy, but slow, because they must take very many tiny time steps to stay stable.</w:t>
      </w:r>
    </w:p>
    <w:p>
      <w:pPr>
        <w:pStyle w:val="ListParagraph"/>
        <w:numPr>
          <w:ilvl w:val="0"/>
          <w:numId w:val="2"/>
        </w:numPr>
        <w:spacing w:after="70" w:line="270"/>
      </w:pPr>
      <w:r>
        <w:rPr>
          <w:b/>
          <w:bCs/>
        </w:rPr>
        <w:t xml:space="preserve">Machine-learning solvers</w:t>
      </w:r>
      <w:r>
        <w:t xml:space="preserve"> (PINN, FNO, DeepONet) are extremely fast once trained, but only reliable inside the time window they were trained on. Pushed beyond it — “temporal extrapolation” — their error grows and they can fail silently: a smooth, believable, but wrong answer.</w:t>
      </w:r>
    </w:p>
    <w:p>
      <w:pPr>
        <w:spacing w:after="140" w:line="276"/>
      </w:pPr>
      <w:r>
        <w:rPr>
          <w:b/>
          <w:bCs/>
        </w:rPr>
        <w:t xml:space="preserve">The hybrid idea: </w:t>
      </w:r>
      <w:r>
        <w:t xml:space="preserve">run the cheap ML model while it can be trusted, and bring in numerical computation exactly when the ML model is about to go wrong. Neither family alone gives fast </w:t>
      </w:r>
      <w:r>
        <w:rPr>
          <w:i/>
          <w:iCs/>
        </w:rPr>
        <w:t xml:space="preserve">and</w:t>
      </w:r>
      <w:r>
        <w:t xml:space="preserve"> trustworthy long-horizon prediction; the hybrid aims to.</w:t>
      </w:r>
    </w:p>
    <w:p>
      <w:pPr>
        <w:pBdr>
          <w:left w:val="single" w:color="C9A227" w:sz="18" w:space="8"/>
        </w:pBdr>
        <w:shd w:fill="FBF3D9" w:val="clear"/>
        <w:spacing w:after="160" w:before="60" w:line="272"/>
        <w:ind w:left="120" w:right="120"/>
      </w:pPr>
      <w:r>
        <w:rPr>
          <w:b/>
          <w:bCs/>
          <w:color w:val="7A5C00"/>
        </w:rPr>
        <w:t xml:space="preserve">Evidence — </w:t>
      </w:r>
      <w:r>
        <w:t xml:space="preserve">The failure of learned PDE solvers beyond their training horizon is well documented: error accumulates during autoregressive rollout, often growing exponentially with the horizon, and “renders most temporal neural operators useless after a relatively short time horizon.” See </w:t>
      </w:r>
      <w:hyperlink w:history="1" r:id="rIdyv8q0b2io6isljjrahq4k">
        <w:r>
          <w:rPr>
            <w:rStyle w:val="Hyperlink"/>
          </w:rPr>
          <w:t xml:space="preserve">TI-DeepONet (2025)</w:t>
        </w:r>
      </w:hyperlink>
      <w:r>
        <w:t xml:space="preserve"> and </w:t>
      </w:r>
      <w:hyperlink w:history="1" r:id="rIdgyizqhs8eapw3s6chtufc">
        <w:r>
          <w:rPr>
            <w:rStyle w:val="Hyperlink"/>
          </w:rPr>
          <w:t xml:space="preserve">Recurrent Neural Operators (2025)</w:t>
        </w:r>
      </w:hyperlink>
      <w:r>
        <w:t xml:space="preserve">. Your own team reproduced exactly this — the ML extrapolation errors are 14–61% past the training horizon (Section 1.3).</w:t>
      </w:r>
    </w:p>
    <w:p>
      <w:pPr>
        <w:pStyle w:val="Heading2"/>
      </w:pPr>
      <w:r>
        <w:t xml:space="preserve">1.2  The benchmark: the 1D viscous Burgers equation</w:t>
      </w:r>
    </w:p>
    <w:p>
      <w:pPr>
        <w:spacing w:after="140" w:line="276"/>
      </w:pPr>
      <w:r>
        <w:t xml:space="preserve">The project tests everything on one equation: the 1D viscous Burgers equation. It is the standard “stress test” for extrapolation because it spontaneously forms a moving shock (a near-discontinuity), which is hard for ML models to track and is precisely where they tend to fail. It also has a known exact solution (the Cole–Hopf transform turns it into the linear heat equation), so the team always has perfect “ground truth” to score against.</w:t>
      </w:r>
    </w:p>
    <w:p>
      <w:pPr>
        <w:pBdr>
          <w:left w:val="single" w:color="C9A227" w:sz="18" w:space="8"/>
        </w:pBdr>
        <w:shd w:fill="FBF3D9" w:val="clear"/>
        <w:spacing w:after="160" w:before="60" w:line="272"/>
        <w:ind w:left="120" w:right="120"/>
      </w:pPr>
      <w:r>
        <w:rPr>
          <w:b/>
          <w:bCs/>
          <w:color w:val="7A5C00"/>
        </w:rPr>
        <w:t xml:space="preserve">Evidence — </w:t>
      </w:r>
      <w:r>
        <w:t xml:space="preserve">The Cole–Hopf linearisation (Hopf 1950; Cole 1951) reduces viscous Burgers to the heat equation and yields closed-form solutions; it is the canonical example for shock formation. See </w:t>
      </w:r>
      <w:hyperlink w:history="1" r:id="rIdbgigap2a3gvue3ru7wnuw">
        <w:r>
          <w:rPr>
            <w:rStyle w:val="Hyperlink"/>
          </w:rPr>
          <w:t xml:space="preserve">Burgers’ equation (overview)</w:t>
        </w:r>
      </w:hyperlink>
      <w:r>
        <w:t xml:space="preserve">. In your repo this is implemented in </w:t>
      </w:r>
      <w:r>
        <w:rPr>
          <w:rFonts w:ascii="Consolas" w:cs="Consolas" w:eastAsia="Consolas" w:hAnsi="Consolas"/>
          <w:sz w:val="19"/>
          <w:szCs w:val="19"/>
        </w:rPr>
        <w:t xml:space="preserve">hybrid_pde/solvers/numerical/colehopf.py</w:t>
      </w:r>
      <w:r>
        <w:t xml:space="preserve"> and the reference data is </w:t>
      </w:r>
      <w:r>
        <w:rPr>
          <w:rFonts w:ascii="Consolas" w:cs="Consolas" w:eastAsia="Consolas" w:hAnsi="Consolas"/>
          <w:sz w:val="19"/>
          <w:szCs w:val="19"/>
        </w:rPr>
        <w:t xml:space="preserve">data/colehopf/burgers_colehopf.pt</w:t>
      </w:r>
      <w:r>
        <w:t xml:space="preserve">.</w:t>
      </w:r>
    </w:p>
    <w:p>
      <w:pPr>
        <w:spacing w:after="140" w:line="276"/>
      </w:pPr>
      <w:r>
        <w:rPr>
          <w:b/>
          <w:bCs/>
        </w:rPr>
        <w:t xml:space="preserve">What this means for you: </w:t>
      </w:r>
      <w:r>
        <w:t xml:space="preserve">you never compute ground truth inside your module. Ground truth (Cole–Hopf) is used only to </w:t>
      </w:r>
      <w:r>
        <w:rPr>
          <w:i/>
          <w:iCs/>
        </w:rPr>
        <w:t xml:space="preserve">score</w:t>
      </w:r>
      <w:r>
        <w:t xml:space="preserve"> your hybrid afterwards. At “deployment” time your controller must decide what to do with </w:t>
      </w:r>
      <w:r>
        <w:rPr>
          <w:i/>
          <w:iCs/>
        </w:rPr>
        <w:t xml:space="preserve">no</w:t>
      </w:r>
      <w:r>
        <w:t xml:space="preserve"> access to the true answer — that constraint is the entire reason this is a research problem, not an engineering one.</w:t>
      </w:r>
    </w:p>
    <w:p>
      <w:pPr>
        <w:pStyle w:val="Heading2"/>
      </w:pPr>
      <w:r>
        <w:t xml:space="preserve">1.3  The three ML surrogates you will be controlling</w:t>
      </w:r>
    </w:p>
    <w:p>
      <w:pPr>
        <w:spacing w:after="140" w:line="276"/>
      </w:pPr>
      <w:r>
        <w:t xml:space="preserve">Phase 1 of the project already trained three ML solvers, all behind one common interface, plus three numerical solvers. You do not retrain them; you treat each as a black box that produces a predicted field. You should, however, know their character, because your controller’s decisions depend on it:</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1700"/>
        <w:gridCol w:w="1700"/>
        <w:gridCol w:w="1360"/>
      </w:tblGrid>
      <w:tr>
        <w:trPr>
          <w:tblHeader/>
        </w:trPr>
        <w:tc>
          <w:tcPr>
            <w:tcW w:type="dxa" w:w="15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pPr>
              <w:spacing w:after="0" w:line="264"/>
            </w:pPr>
            <w:r>
              <w:rPr>
                <w:b/>
                <w:bCs/>
                <w:color w:val="FFFFFF"/>
                <w:sz w:val="19"/>
                <w:szCs w:val="19"/>
              </w:rPr>
              <w:t xml:space="preserve">Solver</w:t>
            </w:r>
          </w:p>
        </w:tc>
        <w:tc>
          <w:tcPr>
            <w:tcW w:type="dxa" w:w="27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pPr>
              <w:spacing w:after="0" w:line="264"/>
            </w:pPr>
            <w:r>
              <w:rPr>
                <w:b/>
                <w:bCs/>
                <w:color w:val="FFFFFF"/>
                <w:sz w:val="19"/>
                <w:szCs w:val="19"/>
              </w:rPr>
              <w:t xml:space="preserve">Type</w:t>
            </w:r>
          </w:p>
        </w:tc>
        <w:tc>
          <w:tcPr>
            <w:tcW w:type="dxa" w:w="17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pPr>
              <w:spacing w:after="0" w:line="264"/>
            </w:pPr>
            <w:r>
              <w:rPr>
                <w:b/>
                <w:bCs/>
                <w:color w:val="FFFFFF"/>
                <w:sz w:val="19"/>
                <w:szCs w:val="19"/>
              </w:rPr>
              <w:t xml:space="preserve">In-window err (t≤1)</w:t>
            </w:r>
          </w:p>
        </w:tc>
        <w:tc>
          <w:tcPr>
            <w:tcW w:type="dxa" w:w="17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pPr>
              <w:spacing w:after="0" w:line="264"/>
            </w:pPr>
            <w:r>
              <w:rPr>
                <w:b/>
                <w:bCs/>
                <w:color w:val="FFFFFF"/>
                <w:sz w:val="19"/>
                <w:szCs w:val="19"/>
              </w:rPr>
              <w:t xml:space="preserve">Extrap err (t&gt;1)</w:t>
            </w:r>
          </w:p>
        </w:tc>
        <w:tc>
          <w:tcPr>
            <w:tcW w:type="dxa" w:w="136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pPr>
              <w:spacing w:after="0" w:line="264"/>
            </w:pPr>
            <w:r>
              <w:rPr>
                <w:b/>
                <w:bCs/>
                <w:color w:val="FFFFFF"/>
                <w:sz w:val="19"/>
                <w:szCs w:val="19"/>
              </w:rPr>
              <w:t xml:space="preserve">Per-IC cost</w:t>
            </w:r>
          </w:p>
        </w:tc>
      </w:tr>
      <w:tr>
        <w:trPr>
          <w:tblHeader w:val="false"/>
        </w:trPr>
        <w:tc>
          <w:tcPr>
            <w:tcW w:type="dxa" w:w="15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64"/>
            </w:pPr>
            <w:r>
              <w:rPr>
                <w:b w:val="false"/>
                <w:bCs w:val="false"/>
                <w:sz w:val="19"/>
                <w:szCs w:val="19"/>
              </w:rPr>
              <w:t xml:space="preserve">FNO</w:t>
            </w:r>
          </w:p>
        </w:tc>
        <w:tc>
          <w:tcPr>
            <w:tcW w:type="dxa" w:w="27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64"/>
            </w:pPr>
            <w:r>
              <w:rPr>
                <w:b w:val="false"/>
                <w:bCs w:val="false"/>
                <w:sz w:val="19"/>
                <w:szCs w:val="19"/>
              </w:rPr>
              <w:t xml:space="preserve">Amortised neural operator (one forward pass per input)</w:t>
            </w:r>
          </w:p>
        </w:tc>
        <w:tc>
          <w:tcPr>
            <w:tcW w:type="dxa" w:w="17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64"/>
            </w:pPr>
            <w:r>
              <w:rPr>
                <w:b w:val="false"/>
                <w:bCs w:val="false"/>
                <w:sz w:val="19"/>
                <w:szCs w:val="19"/>
              </w:rPr>
              <w:t xml:space="preserve">0.57%</w:t>
            </w:r>
          </w:p>
        </w:tc>
        <w:tc>
          <w:tcPr>
            <w:tcW w:type="dxa" w:w="17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64"/>
            </w:pPr>
            <w:r>
              <w:rPr>
                <w:b w:val="false"/>
                <w:bCs w:val="false"/>
                <w:sz w:val="19"/>
                <w:szCs w:val="19"/>
              </w:rPr>
              <w:t xml:space="preserve">14.1%</w:t>
            </w:r>
          </w:p>
        </w:tc>
        <w:tc>
          <w:tcPr>
            <w:tcW w:type="dxa" w:w="13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64"/>
            </w:pPr>
            <w:r>
              <w:rPr>
                <w:b w:val="false"/>
                <w:bCs w:val="false"/>
                <w:sz w:val="19"/>
                <w:szCs w:val="19"/>
              </w:rPr>
              <w:t xml:space="preserve">0.44 s</w:t>
            </w:r>
          </w:p>
        </w:tc>
      </w:tr>
      <w:tr>
        <w:trPr>
          <w:tblHeader w:val="false"/>
        </w:trPr>
        <w:tc>
          <w:tcPr>
            <w:tcW w:type="dxa" w:w="1500"/>
            <w:tcBorders>
              <w:top w:val="single" w:color="BFBFBF" w:sz="1"/>
              <w:left w:val="single" w:color="BFBFBF" w:sz="1"/>
              <w:bottom w:val="single" w:color="BFBFBF" w:sz="1"/>
              <w:right w:val="single" w:color="BFBFBF" w:sz="1"/>
            </w:tcBorders>
            <w:shd w:fill="EAF1F8" w:val="clear"/>
            <w:tcMar>
              <w:top w:type="dxa" w:w="70"/>
              <w:left w:type="dxa" w:w="110"/>
              <w:bottom w:type="dxa" w:w="70"/>
              <w:right w:type="dxa" w:w="110"/>
            </w:tcMar>
          </w:tcPr>
          <w:p>
            <w:pPr>
              <w:spacing w:after="0" w:line="264"/>
            </w:pPr>
            <w:r>
              <w:rPr>
                <w:b w:val="false"/>
                <w:bCs w:val="false"/>
                <w:sz w:val="19"/>
                <w:szCs w:val="19"/>
              </w:rPr>
              <w:t xml:space="preserve">PINN</w:t>
            </w:r>
          </w:p>
        </w:tc>
        <w:tc>
          <w:tcPr>
            <w:tcW w:type="dxa" w:w="2700"/>
            <w:tcBorders>
              <w:top w:val="single" w:color="BFBFBF" w:sz="1"/>
              <w:left w:val="single" w:color="BFBFBF" w:sz="1"/>
              <w:bottom w:val="single" w:color="BFBFBF" w:sz="1"/>
              <w:right w:val="single" w:color="BFBFBF" w:sz="1"/>
            </w:tcBorders>
            <w:shd w:fill="EAF1F8" w:val="clear"/>
            <w:tcMar>
              <w:top w:type="dxa" w:w="70"/>
              <w:left w:type="dxa" w:w="110"/>
              <w:bottom w:type="dxa" w:w="70"/>
              <w:right w:type="dxa" w:w="110"/>
            </w:tcMar>
          </w:tcPr>
          <w:p>
            <w:pPr>
              <w:spacing w:after="0" w:line="264"/>
            </w:pPr>
            <w:r>
              <w:rPr>
                <w:b w:val="false"/>
                <w:bCs w:val="false"/>
                <w:sz w:val="19"/>
                <w:szCs w:val="19"/>
              </w:rPr>
              <w:t xml:space="preserve">Physics-informed net, re-optimised per input</w:t>
            </w:r>
          </w:p>
        </w:tc>
        <w:tc>
          <w:tcPr>
            <w:tcW w:type="dxa" w:w="1700"/>
            <w:tcBorders>
              <w:top w:val="single" w:color="BFBFBF" w:sz="1"/>
              <w:left w:val="single" w:color="BFBFBF" w:sz="1"/>
              <w:bottom w:val="single" w:color="BFBFBF" w:sz="1"/>
              <w:right w:val="single" w:color="BFBFBF" w:sz="1"/>
            </w:tcBorders>
            <w:shd w:fill="EAF1F8" w:val="clear"/>
            <w:tcMar>
              <w:top w:type="dxa" w:w="70"/>
              <w:left w:type="dxa" w:w="110"/>
              <w:bottom w:type="dxa" w:w="70"/>
              <w:right w:type="dxa" w:w="110"/>
            </w:tcMar>
          </w:tcPr>
          <w:p>
            <w:pPr>
              <w:spacing w:after="0" w:line="264"/>
            </w:pPr>
            <w:r>
              <w:rPr>
                <w:b w:val="false"/>
                <w:bCs w:val="false"/>
                <w:sz w:val="19"/>
                <w:szCs w:val="19"/>
              </w:rPr>
              <w:t xml:space="preserve">1.47%</w:t>
            </w:r>
          </w:p>
        </w:tc>
        <w:tc>
          <w:tcPr>
            <w:tcW w:type="dxa" w:w="1700"/>
            <w:tcBorders>
              <w:top w:val="single" w:color="BFBFBF" w:sz="1"/>
              <w:left w:val="single" w:color="BFBFBF" w:sz="1"/>
              <w:bottom w:val="single" w:color="BFBFBF" w:sz="1"/>
              <w:right w:val="single" w:color="BFBFBF" w:sz="1"/>
            </w:tcBorders>
            <w:shd w:fill="EAF1F8" w:val="clear"/>
            <w:tcMar>
              <w:top w:type="dxa" w:w="70"/>
              <w:left w:type="dxa" w:w="110"/>
              <w:bottom w:type="dxa" w:w="70"/>
              <w:right w:type="dxa" w:w="110"/>
            </w:tcMar>
          </w:tcPr>
          <w:p>
            <w:pPr>
              <w:spacing w:after="0" w:line="264"/>
            </w:pPr>
            <w:r>
              <w:rPr>
                <w:b w:val="false"/>
                <w:bCs w:val="false"/>
                <w:sz w:val="19"/>
                <w:szCs w:val="19"/>
              </w:rPr>
              <w:t xml:space="preserve">35.8%</w:t>
            </w:r>
          </w:p>
        </w:tc>
        <w:tc>
          <w:tcPr>
            <w:tcW w:type="dxa" w:w="1360"/>
            <w:tcBorders>
              <w:top w:val="single" w:color="BFBFBF" w:sz="1"/>
              <w:left w:val="single" w:color="BFBFBF" w:sz="1"/>
              <w:bottom w:val="single" w:color="BFBFBF" w:sz="1"/>
              <w:right w:val="single" w:color="BFBFBF" w:sz="1"/>
            </w:tcBorders>
            <w:shd w:fill="EAF1F8" w:val="clear"/>
            <w:tcMar>
              <w:top w:type="dxa" w:w="70"/>
              <w:left w:type="dxa" w:w="110"/>
              <w:bottom w:type="dxa" w:w="70"/>
              <w:right w:type="dxa" w:w="110"/>
            </w:tcMar>
          </w:tcPr>
          <w:p>
            <w:pPr>
              <w:spacing w:after="0" w:line="264"/>
            </w:pPr>
            <w:r>
              <w:rPr>
                <w:b w:val="false"/>
                <w:bCs w:val="false"/>
                <w:sz w:val="19"/>
                <w:szCs w:val="19"/>
              </w:rPr>
              <w:t xml:space="preserve">~2114 s</w:t>
            </w:r>
          </w:p>
        </w:tc>
      </w:tr>
      <w:tr>
        <w:trPr>
          <w:tblHeader w:val="false"/>
        </w:trPr>
        <w:tc>
          <w:tcPr>
            <w:tcW w:type="dxa" w:w="15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64"/>
            </w:pPr>
            <w:r>
              <w:rPr>
                <w:b w:val="false"/>
                <w:bCs w:val="false"/>
                <w:sz w:val="19"/>
                <w:szCs w:val="19"/>
              </w:rPr>
              <w:t xml:space="preserve">DeepONet</w:t>
            </w:r>
          </w:p>
        </w:tc>
        <w:tc>
          <w:tcPr>
            <w:tcW w:type="dxa" w:w="27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64"/>
            </w:pPr>
            <w:r>
              <w:rPr>
                <w:b w:val="false"/>
                <w:bCs w:val="false"/>
                <w:sz w:val="19"/>
                <w:szCs w:val="19"/>
              </w:rPr>
              <w:t xml:space="preserve">Amortised operator (branch×trunk)</w:t>
            </w:r>
          </w:p>
        </w:tc>
        <w:tc>
          <w:tcPr>
            <w:tcW w:type="dxa" w:w="17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64"/>
            </w:pPr>
            <w:r>
              <w:rPr>
                <w:b w:val="false"/>
                <w:bCs w:val="false"/>
                <w:sz w:val="19"/>
                <w:szCs w:val="19"/>
              </w:rPr>
              <w:t xml:space="preserve">29.3%</w:t>
            </w:r>
          </w:p>
        </w:tc>
        <w:tc>
          <w:tcPr>
            <w:tcW w:type="dxa" w:w="17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64"/>
            </w:pPr>
            <w:r>
              <w:rPr>
                <w:b w:val="false"/>
                <w:bCs w:val="false"/>
                <w:sz w:val="19"/>
                <w:szCs w:val="19"/>
              </w:rPr>
              <w:t xml:space="preserve">61.1%</w:t>
            </w:r>
          </w:p>
        </w:tc>
        <w:tc>
          <w:tcPr>
            <w:tcW w:type="dxa" w:w="13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64"/>
            </w:pPr>
            <w:r>
              <w:rPr>
                <w:b w:val="false"/>
                <w:bCs w:val="false"/>
                <w:sz w:val="19"/>
                <w:szCs w:val="19"/>
              </w:rPr>
              <w:t xml:space="preserve">0.73 s</w:t>
            </w:r>
          </w:p>
        </w:tc>
      </w:tr>
      <w:tr>
        <w:trPr>
          <w:tblHeader w:val="false"/>
        </w:trPr>
        <w:tc>
          <w:tcPr>
            <w:tcW w:type="dxa" w:w="1500"/>
            <w:tcBorders>
              <w:top w:val="single" w:color="BFBFBF" w:sz="1"/>
              <w:left w:val="single" w:color="BFBFBF" w:sz="1"/>
              <w:bottom w:val="single" w:color="BFBFBF" w:sz="1"/>
              <w:right w:val="single" w:color="BFBFBF" w:sz="1"/>
            </w:tcBorders>
            <w:shd w:fill="EAF1F8" w:val="clear"/>
            <w:tcMar>
              <w:top w:type="dxa" w:w="70"/>
              <w:left w:type="dxa" w:w="110"/>
              <w:bottom w:type="dxa" w:w="70"/>
              <w:right w:type="dxa" w:w="110"/>
            </w:tcMar>
          </w:tcPr>
          <w:p>
            <w:pPr>
              <w:spacing w:after="0" w:line="264"/>
            </w:pPr>
            <w:r>
              <w:rPr>
                <w:b w:val="false"/>
                <w:bCs w:val="false"/>
                <w:sz w:val="19"/>
                <w:szCs w:val="19"/>
              </w:rPr>
              <w:t xml:space="preserve">Cole–Hopf</w:t>
            </w:r>
          </w:p>
        </w:tc>
        <w:tc>
          <w:tcPr>
            <w:tcW w:type="dxa" w:w="2700"/>
            <w:tcBorders>
              <w:top w:val="single" w:color="BFBFBF" w:sz="1"/>
              <w:left w:val="single" w:color="BFBFBF" w:sz="1"/>
              <w:bottom w:val="single" w:color="BFBFBF" w:sz="1"/>
              <w:right w:val="single" w:color="BFBFBF" w:sz="1"/>
            </w:tcBorders>
            <w:shd w:fill="EAF1F8" w:val="clear"/>
            <w:tcMar>
              <w:top w:type="dxa" w:w="70"/>
              <w:left w:type="dxa" w:w="110"/>
              <w:bottom w:type="dxa" w:w="70"/>
              <w:right w:type="dxa" w:w="110"/>
            </w:tcMar>
          </w:tcPr>
          <w:p>
            <w:pPr>
              <w:spacing w:after="0" w:line="264"/>
            </w:pPr>
            <w:r>
              <w:rPr>
                <w:b w:val="false"/>
                <w:bCs w:val="false"/>
                <w:sz w:val="19"/>
                <w:szCs w:val="19"/>
              </w:rPr>
              <w:t xml:space="preserve">Numerical (exact, Burgers-specific)</w:t>
            </w:r>
          </w:p>
        </w:tc>
        <w:tc>
          <w:tcPr>
            <w:tcW w:type="dxa" w:w="1700"/>
            <w:tcBorders>
              <w:top w:val="single" w:color="BFBFBF" w:sz="1"/>
              <w:left w:val="single" w:color="BFBFBF" w:sz="1"/>
              <w:bottom w:val="single" w:color="BFBFBF" w:sz="1"/>
              <w:right w:val="single" w:color="BFBFBF" w:sz="1"/>
            </w:tcBorders>
            <w:shd w:fill="EAF1F8" w:val="clear"/>
            <w:tcMar>
              <w:top w:type="dxa" w:w="70"/>
              <w:left w:type="dxa" w:w="110"/>
              <w:bottom w:type="dxa" w:w="70"/>
              <w:right w:type="dxa" w:w="110"/>
            </w:tcMar>
          </w:tcPr>
          <w:p>
            <w:pPr>
              <w:spacing w:after="0" w:line="264"/>
            </w:pPr>
            <w:r>
              <w:rPr>
                <w:b w:val="false"/>
                <w:bCs w:val="false"/>
                <w:sz w:val="19"/>
                <w:szCs w:val="19"/>
              </w:rPr>
              <w:t xml:space="preserve">≈0</w:t>
            </w:r>
          </w:p>
        </w:tc>
        <w:tc>
          <w:tcPr>
            <w:tcW w:type="dxa" w:w="1700"/>
            <w:tcBorders>
              <w:top w:val="single" w:color="BFBFBF" w:sz="1"/>
              <w:left w:val="single" w:color="BFBFBF" w:sz="1"/>
              <w:bottom w:val="single" w:color="BFBFBF" w:sz="1"/>
              <w:right w:val="single" w:color="BFBFBF" w:sz="1"/>
            </w:tcBorders>
            <w:shd w:fill="EAF1F8" w:val="clear"/>
            <w:tcMar>
              <w:top w:type="dxa" w:w="70"/>
              <w:left w:type="dxa" w:w="110"/>
              <w:bottom w:type="dxa" w:w="70"/>
              <w:right w:type="dxa" w:w="110"/>
            </w:tcMar>
          </w:tcPr>
          <w:p>
            <w:pPr>
              <w:spacing w:after="0" w:line="264"/>
            </w:pPr>
            <w:r>
              <w:rPr>
                <w:b w:val="false"/>
                <w:bCs w:val="false"/>
                <w:sz w:val="19"/>
                <w:szCs w:val="19"/>
              </w:rPr>
              <w:t xml:space="preserve">≈0</w:t>
            </w:r>
          </w:p>
        </w:tc>
        <w:tc>
          <w:tcPr>
            <w:tcW w:type="dxa" w:w="1360"/>
            <w:tcBorders>
              <w:top w:val="single" w:color="BFBFBF" w:sz="1"/>
              <w:left w:val="single" w:color="BFBFBF" w:sz="1"/>
              <w:bottom w:val="single" w:color="BFBFBF" w:sz="1"/>
              <w:right w:val="single" w:color="BFBFBF" w:sz="1"/>
            </w:tcBorders>
            <w:shd w:fill="EAF1F8" w:val="clear"/>
            <w:tcMar>
              <w:top w:type="dxa" w:w="70"/>
              <w:left w:type="dxa" w:w="110"/>
              <w:bottom w:type="dxa" w:w="70"/>
              <w:right w:type="dxa" w:w="110"/>
            </w:tcMar>
          </w:tcPr>
          <w:p>
            <w:pPr>
              <w:spacing w:after="0" w:line="264"/>
            </w:pPr>
            <w:r>
              <w:rPr>
                <w:b w:val="false"/>
                <w:bCs w:val="false"/>
                <w:sz w:val="19"/>
                <w:szCs w:val="19"/>
              </w:rPr>
              <w:t xml:space="preserve">2.23 s</w:t>
            </w:r>
          </w:p>
        </w:tc>
      </w:tr>
      <w:tr>
        <w:trPr>
          <w:tblHeader w:val="false"/>
        </w:trPr>
        <w:tc>
          <w:tcPr>
            <w:tcW w:type="dxa" w:w="15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64"/>
            </w:pPr>
            <w:r>
              <w:rPr>
                <w:b w:val="false"/>
                <w:bCs w:val="false"/>
                <w:sz w:val="19"/>
                <w:szCs w:val="19"/>
              </w:rPr>
              <w:t xml:space="preserve">FDM</w:t>
            </w:r>
          </w:p>
        </w:tc>
        <w:tc>
          <w:tcPr>
            <w:tcW w:type="dxa" w:w="27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64"/>
            </w:pPr>
            <w:r>
              <w:rPr>
                <w:b w:val="false"/>
                <w:bCs w:val="false"/>
                <w:sz w:val="19"/>
                <w:szCs w:val="19"/>
              </w:rPr>
              <w:t xml:space="preserve">Numerical (finite difference)</w:t>
            </w:r>
          </w:p>
        </w:tc>
        <w:tc>
          <w:tcPr>
            <w:tcW w:type="dxa" w:w="17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64"/>
            </w:pPr>
            <w:r>
              <w:rPr>
                <w:b w:val="false"/>
                <w:bCs w:val="false"/>
                <w:sz w:val="19"/>
                <w:szCs w:val="19"/>
              </w:rPr>
              <w:t xml:space="preserve">8.83%</w:t>
            </w:r>
          </w:p>
        </w:tc>
        <w:tc>
          <w:tcPr>
            <w:tcW w:type="dxa" w:w="17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64"/>
            </w:pPr>
            <w:r>
              <w:rPr>
                <w:b w:val="false"/>
                <w:bCs w:val="false"/>
                <w:sz w:val="19"/>
                <w:szCs w:val="19"/>
              </w:rPr>
              <w:t xml:space="preserve">13.0%</w:t>
            </w:r>
          </w:p>
        </w:tc>
        <w:tc>
          <w:tcPr>
            <w:tcW w:type="dxa" w:w="13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64"/>
            </w:pPr>
            <w:r>
              <w:rPr>
                <w:b w:val="false"/>
                <w:bCs w:val="false"/>
                <w:sz w:val="19"/>
                <w:szCs w:val="19"/>
              </w:rPr>
              <w:t xml:space="preserve">0.086 s</w:t>
            </w:r>
          </w:p>
        </w:tc>
      </w:tr>
      <w:tr>
        <w:trPr>
          <w:tblHeader w:val="false"/>
        </w:trPr>
        <w:tc>
          <w:tcPr>
            <w:tcW w:type="dxa" w:w="1500"/>
            <w:tcBorders>
              <w:top w:val="single" w:color="BFBFBF" w:sz="1"/>
              <w:left w:val="single" w:color="BFBFBF" w:sz="1"/>
              <w:bottom w:val="single" w:color="BFBFBF" w:sz="1"/>
              <w:right w:val="single" w:color="BFBFBF" w:sz="1"/>
            </w:tcBorders>
            <w:shd w:fill="EAF1F8" w:val="clear"/>
            <w:tcMar>
              <w:top w:type="dxa" w:w="70"/>
              <w:left w:type="dxa" w:w="110"/>
              <w:bottom w:type="dxa" w:w="70"/>
              <w:right w:type="dxa" w:w="110"/>
            </w:tcMar>
          </w:tcPr>
          <w:p>
            <w:pPr>
              <w:spacing w:after="0" w:line="264"/>
            </w:pPr>
            <w:r>
              <w:rPr>
                <w:b w:val="false"/>
                <w:bCs w:val="false"/>
                <w:sz w:val="19"/>
                <w:szCs w:val="19"/>
              </w:rPr>
              <w:t xml:space="preserve">Spectral</w:t>
            </w:r>
          </w:p>
        </w:tc>
        <w:tc>
          <w:tcPr>
            <w:tcW w:type="dxa" w:w="2700"/>
            <w:tcBorders>
              <w:top w:val="single" w:color="BFBFBF" w:sz="1"/>
              <w:left w:val="single" w:color="BFBFBF" w:sz="1"/>
              <w:bottom w:val="single" w:color="BFBFBF" w:sz="1"/>
              <w:right w:val="single" w:color="BFBFBF" w:sz="1"/>
            </w:tcBorders>
            <w:shd w:fill="EAF1F8" w:val="clear"/>
            <w:tcMar>
              <w:top w:type="dxa" w:w="70"/>
              <w:left w:type="dxa" w:w="110"/>
              <w:bottom w:type="dxa" w:w="70"/>
              <w:right w:type="dxa" w:w="110"/>
            </w:tcMar>
          </w:tcPr>
          <w:p>
            <w:pPr>
              <w:spacing w:after="0" w:line="264"/>
            </w:pPr>
            <w:r>
              <w:rPr>
                <w:b w:val="false"/>
                <w:bCs w:val="false"/>
                <w:sz w:val="19"/>
                <w:szCs w:val="19"/>
              </w:rPr>
              <w:t xml:space="preserve">Numerical (high-accuracy)</w:t>
            </w:r>
          </w:p>
        </w:tc>
        <w:tc>
          <w:tcPr>
            <w:tcW w:type="dxa" w:w="1700"/>
            <w:tcBorders>
              <w:top w:val="single" w:color="BFBFBF" w:sz="1"/>
              <w:left w:val="single" w:color="BFBFBF" w:sz="1"/>
              <w:bottom w:val="single" w:color="BFBFBF" w:sz="1"/>
              <w:right w:val="single" w:color="BFBFBF" w:sz="1"/>
            </w:tcBorders>
            <w:shd w:fill="EAF1F8" w:val="clear"/>
            <w:tcMar>
              <w:top w:type="dxa" w:w="70"/>
              <w:left w:type="dxa" w:w="110"/>
              <w:bottom w:type="dxa" w:w="70"/>
              <w:right w:type="dxa" w:w="110"/>
            </w:tcMar>
          </w:tcPr>
          <w:p>
            <w:pPr>
              <w:spacing w:after="0" w:line="264"/>
            </w:pPr>
            <w:r>
              <w:rPr>
                <w:b w:val="false"/>
                <w:bCs w:val="false"/>
                <w:sz w:val="19"/>
                <w:szCs w:val="19"/>
              </w:rPr>
              <w:t xml:space="preserve">0.010%</w:t>
            </w:r>
          </w:p>
        </w:tc>
        <w:tc>
          <w:tcPr>
            <w:tcW w:type="dxa" w:w="1700"/>
            <w:tcBorders>
              <w:top w:val="single" w:color="BFBFBF" w:sz="1"/>
              <w:left w:val="single" w:color="BFBFBF" w:sz="1"/>
              <w:bottom w:val="single" w:color="BFBFBF" w:sz="1"/>
              <w:right w:val="single" w:color="BFBFBF" w:sz="1"/>
            </w:tcBorders>
            <w:shd w:fill="EAF1F8" w:val="clear"/>
            <w:tcMar>
              <w:top w:type="dxa" w:w="70"/>
              <w:left w:type="dxa" w:w="110"/>
              <w:bottom w:type="dxa" w:w="70"/>
              <w:right w:type="dxa" w:w="110"/>
            </w:tcMar>
          </w:tcPr>
          <w:p>
            <w:pPr>
              <w:spacing w:after="0" w:line="264"/>
            </w:pPr>
            <w:r>
              <w:rPr>
                <w:b w:val="false"/>
                <w:bCs w:val="false"/>
                <w:sz w:val="19"/>
                <w:szCs w:val="19"/>
              </w:rPr>
              <w:t xml:space="preserve">0.004%</w:t>
            </w:r>
          </w:p>
        </w:tc>
        <w:tc>
          <w:tcPr>
            <w:tcW w:type="dxa" w:w="1360"/>
            <w:tcBorders>
              <w:top w:val="single" w:color="BFBFBF" w:sz="1"/>
              <w:left w:val="single" w:color="BFBFBF" w:sz="1"/>
              <w:bottom w:val="single" w:color="BFBFBF" w:sz="1"/>
              <w:right w:val="single" w:color="BFBFBF" w:sz="1"/>
            </w:tcBorders>
            <w:shd w:fill="EAF1F8" w:val="clear"/>
            <w:tcMar>
              <w:top w:type="dxa" w:w="70"/>
              <w:left w:type="dxa" w:w="110"/>
              <w:bottom w:type="dxa" w:w="70"/>
              <w:right w:type="dxa" w:w="110"/>
            </w:tcMar>
          </w:tcPr>
          <w:p>
            <w:pPr>
              <w:spacing w:after="0" w:line="264"/>
            </w:pPr>
            <w:r>
              <w:rPr>
                <w:b w:val="false"/>
                <w:bCs w:val="false"/>
                <w:sz w:val="19"/>
                <w:szCs w:val="19"/>
              </w:rPr>
              <w:t xml:space="preserve">1.75 s</w:t>
            </w:r>
          </w:p>
        </w:tc>
      </w:tr>
    </w:tbl>
    <w:p>
      <w:pPr>
        <w:pBdr>
          <w:left w:val="single" w:color="C9A227" w:sz="18" w:space="8"/>
        </w:pBdr>
        <w:shd w:fill="FBF3D9" w:val="clear"/>
        <w:spacing w:after="160" w:before="60" w:line="272"/>
        <w:ind w:left="120" w:right="120"/>
      </w:pPr>
      <w:r>
        <w:rPr>
          <w:b/>
          <w:bCs/>
          <w:color w:val="7A5C00"/>
        </w:rPr>
        <w:t xml:space="preserve">Evidence — </w:t>
      </w:r>
      <w:r>
        <w:t xml:space="preserve">Every number above is measured on your own machine and lives in </w:t>
      </w:r>
      <w:r>
        <w:rPr>
          <w:rFonts w:ascii="Consolas" w:cs="Consolas" w:eastAsia="Consolas" w:hAnsi="Consolas"/>
          <w:sz w:val="19"/>
          <w:szCs w:val="19"/>
        </w:rPr>
        <w:t xml:space="preserve">results/deployment/cost_summary.json</w:t>
      </w:r>
      <w:r>
        <w:t xml:space="preserve">, with the full reasoning in </w:t>
      </w:r>
      <w:r>
        <w:rPr>
          <w:rFonts w:ascii="Consolas" w:cs="Consolas" w:eastAsia="Consolas" w:hAnsi="Consolas"/>
          <w:sz w:val="19"/>
          <w:szCs w:val="19"/>
        </w:rPr>
        <w:t xml:space="preserve">results/deployment/deployment_cost_writeup.md</w:t>
      </w:r>
      <w:r>
        <w:t xml:space="preserve">. The three ML architectures are: FNO — </w:t>
      </w:r>
      <w:hyperlink w:history="1" r:id="rIdajgjyi6uwmjufytyilfok">
        <w:r>
          <w:rPr>
            <w:rStyle w:val="Hyperlink"/>
          </w:rPr>
          <w:t xml:space="preserve">Li et al., 2020</w:t>
        </w:r>
      </w:hyperlink>
      <w:r>
        <w:t xml:space="preserve">; PINN — </w:t>
      </w:r>
      <w:hyperlink w:history="1" r:id="rId8lk7raxvanqrekmbi9vrs">
        <w:r>
          <w:rPr>
            <w:rStyle w:val="Hyperlink"/>
          </w:rPr>
          <w:t xml:space="preserve">Raissi et al., 2019</w:t>
        </w:r>
      </w:hyperlink>
      <w:r>
        <w:t xml:space="preserve">; DeepONet — </w:t>
      </w:r>
      <w:hyperlink w:history="1" r:id="rIdizimlfwesgjoxko6b9fea">
        <w:r>
          <w:rPr>
            <w:rStyle w:val="Hyperlink"/>
          </w:rPr>
          <w:t xml:space="preserve">Lu et al., 2021</w:t>
        </w:r>
      </w:hyperlink>
      <w:r>
        <w:t xml:space="preserve">.</w:t>
      </w:r>
    </w:p>
    <w:p>
      <w:pPr>
        <w:spacing w:after="140" w:line="276"/>
      </w:pPr>
      <w:r>
        <w:rPr>
          <w:b/>
          <w:bCs/>
        </w:rPr>
        <w:t xml:space="preserve">The single most important reading of this table for your module: </w:t>
      </w:r>
      <w:r>
        <w:t xml:space="preserve">all three ML models fail in extrapolation (14–61% error, far above the project’s 10% tolerance), while the numerical solvers stay accurate but cost 20×–25000× more per call than the cheap FNO forward pass. That gap — cheap-but-wrong vs. expensive-but-right — is the resource your controller spends carefully. If numerical correction were free, there would be no Module 3.</w:t>
      </w:r>
    </w:p>
    <w:p>
      <w:pPr>
        <w:pStyle w:val="Heading2"/>
      </w:pPr>
      <w:r>
        <w:t xml:space="preserve">1.4  What Module 3 is — and is not</w:t>
      </w:r>
    </w:p>
    <w:p>
      <w:pPr>
        <w:spacing w:after="140" w:line="276"/>
      </w:pPr>
      <w:r>
        <w:t xml:space="preserve">Your module is the “engine control unit”. Given a target accuracy, it runs the fast ML model and decides, step by step, how much expensive numerical work to spend so that the final answer hits the target at the lowest possible cost. Concretely you will build seven components (numbered as in the research plan):</w:t>
      </w:r>
    </w:p>
    <w:p>
      <w:pPr>
        <w:pStyle w:val="ListParagraph"/>
        <w:numPr>
          <w:ilvl w:val="0"/>
          <w:numId w:val="3"/>
        </w:numPr>
        <w:spacing w:after="70" w:line="270"/>
      </w:pPr>
      <w:r>
        <w:rPr>
          <w:b/>
          <w:bCs/>
        </w:rPr>
        <w:t xml:space="preserve">Cost / latency / memory profiler</w:t>
      </w:r>
      <w:r>
        <w:t xml:space="preserve"> (component 14) — measure precisely what one ML step and one numerical step cost.</w:t>
      </w:r>
    </w:p>
    <w:p>
      <w:pPr>
        <w:pStyle w:val="ListParagraph"/>
        <w:numPr>
          <w:ilvl w:val="0"/>
          <w:numId w:val="3"/>
        </w:numPr>
        <w:spacing w:after="70" w:line="270"/>
      </w:pPr>
      <w:r>
        <w:rPr>
          <w:b/>
          <w:bCs/>
        </w:rPr>
        <w:t xml:space="preserve">Accuracy–cost model</w:t>
      </w:r>
      <w:r>
        <w:t xml:space="preserve"> (15) — characterise how final accuracy and total cost change as you add more numerical correction.</w:t>
      </w:r>
    </w:p>
    <w:p>
      <w:pPr>
        <w:pStyle w:val="ListParagraph"/>
        <w:numPr>
          <w:ilvl w:val="0"/>
          <w:numId w:val="3"/>
        </w:numPr>
        <w:spacing w:after="70" w:line="270"/>
      </w:pPr>
      <w:r>
        <w:rPr>
          <w:b/>
          <w:bCs/>
        </w:rPr>
        <w:t xml:space="preserve">Adaptive controller</w:t>
      </w:r>
      <w:r>
        <w:t xml:space="preserve"> (16) — the policy that reads the trust signal and decides when/how much to correct to meet a budget.</w:t>
      </w:r>
    </w:p>
    <w:p>
      <w:pPr>
        <w:pStyle w:val="ListParagraph"/>
        <w:numPr>
          <w:ilvl w:val="0"/>
          <w:numId w:val="3"/>
        </w:numPr>
        <w:spacing w:after="70" w:line="270"/>
      </w:pPr>
      <w:r>
        <w:rPr>
          <w:b/>
          <w:bCs/>
        </w:rPr>
        <w:t xml:space="preserve">Pareto-frontier construction</w:t>
      </w:r>
      <w:r>
        <w:t xml:space="preserve"> (17) — sweep the accuracy target and prove the hybrid beats both pure-ML and pure-numerical on cost-vs-accuracy.</w:t>
      </w:r>
    </w:p>
    <w:p>
      <w:pPr>
        <w:pStyle w:val="ListParagraph"/>
        <w:numPr>
          <w:ilvl w:val="0"/>
          <w:numId w:val="3"/>
        </w:numPr>
        <w:spacing w:after="70" w:line="270"/>
      </w:pPr>
      <w:r>
        <w:rPr>
          <w:b/>
          <w:bCs/>
        </w:rPr>
        <w:t xml:space="preserve">Deployment runtime</w:t>
      </w:r>
      <w:r>
        <w:t xml:space="preserve"> (18) — wrap the hybrid as a runnable service/tool with one knob (accuracy target).</w:t>
      </w:r>
    </w:p>
    <w:p>
      <w:pPr>
        <w:pStyle w:val="ListParagraph"/>
        <w:numPr>
          <w:ilvl w:val="0"/>
          <w:numId w:val="3"/>
        </w:numPr>
        <w:spacing w:after="70" w:line="270"/>
      </w:pPr>
      <w:r>
        <w:rPr>
          <w:b/>
          <w:bCs/>
        </w:rPr>
        <w:t xml:space="preserve">Robustness check</w:t>
      </w:r>
      <w:r>
        <w:t xml:space="preserve"> (19) — confirm the controller still hits its target on unseen inputs.</w:t>
      </w:r>
    </w:p>
    <w:p>
      <w:pPr>
        <w:spacing w:after="140" w:line="276"/>
      </w:pPr>
      <w:r>
        <w:rPr>
          <w:b/>
          <w:bCs/>
        </w:rPr>
        <w:t xml:space="preserve">What it is NOT: </w:t>
      </w:r>
      <w:r>
        <w:t xml:space="preserve">you do not build the failure detector (that is Module 1’s trust signal) and you do not build the mechanism that physically injects numerical correction into the rollout (that is Module 2’s coupling). You </w:t>
      </w:r>
      <w:r>
        <w:rPr>
          <w:i/>
          <w:iCs/>
        </w:rPr>
        <w:t xml:space="preserve">consume</w:t>
      </w:r>
      <w:r>
        <w:t xml:space="preserve"> both through fixed contracts and </w:t>
      </w:r>
      <w:r>
        <w:rPr>
          <w:i/>
          <w:iCs/>
        </w:rPr>
        <w:t xml:space="preserve">orchestrate</w:t>
      </w:r>
      <w:r>
        <w:t xml:space="preserve"> them.</w:t>
      </w:r>
    </w:p>
    <w:p>
      <w:pPr>
        <w:pBdr>
          <w:left w:val="single" w:color="C9A227" w:sz="18" w:space="8"/>
        </w:pBdr>
        <w:shd w:fill="FBF3D9" w:val="clear"/>
        <w:spacing w:after="160" w:before="60" w:line="272"/>
        <w:ind w:left="120" w:right="120"/>
      </w:pPr>
      <w:r>
        <w:rPr>
          <w:b/>
          <w:bCs/>
          <w:color w:val="7A5C00"/>
        </w:rPr>
        <w:t xml:space="preserve">Evidence — </w:t>
      </w:r>
      <w:r>
        <w:rPr>
          <w:i/>
          <w:iCs/>
        </w:rPr>
        <w:t xml:space="preserve">Restructured Research Plan</w:t>
      </w:r>
      <w:r>
        <w:t xml:space="preserve">, Section 7, lists components 14–19 verbatim and states the deliverable: “a self-contained controller plus a deployable, tunable hybrid runtime, and an accuracy-vs-cost frontier showing the hybrid beats both extremes.”</w:t>
      </w:r>
    </w:p>
    <w:p>
      <w:pPr>
        <w:pStyle w:val="Heading2"/>
      </w:pPr>
      <w:r>
        <w:t xml:space="preserve">1.5  The data contracts — how you stay independent</w:t>
      </w:r>
    </w:p>
    <w:p>
      <w:pPr>
        <w:spacing w:after="140" w:line="276"/>
      </w:pPr>
      <w:r>
        <w:t xml:space="preserve">Three small, fixed contracts let the three modules be built separately and plugged together at the end. Memorise these; they are the only places your module touches the others: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300"/>
        <w:gridCol w:w="4500"/>
        <w:gridCol w:w="2160"/>
      </w:tblGrid>
      <w:tr>
        <w:trPr>
          <w:tblHeader/>
        </w:trPr>
        <w:tc>
          <w:tcPr>
            <w:tcW w:type="dxa" w:w="23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pPr>
              <w:spacing w:after="0" w:line="264"/>
            </w:pPr>
            <w:r>
              <w:rPr>
                <w:b/>
                <w:bCs/>
                <w:color w:val="FFFFFF"/>
                <w:sz w:val="19"/>
                <w:szCs w:val="19"/>
              </w:rPr>
              <w:t xml:space="preserve">Contract</w:t>
            </w:r>
          </w:p>
        </w:tc>
        <w:tc>
          <w:tcPr>
            <w:tcW w:type="dxa" w:w="45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pPr>
              <w:spacing w:after="0" w:line="264"/>
            </w:pPr>
            <w:r>
              <w:rPr>
                <w:b/>
                <w:bCs/>
                <w:color w:val="FFFFFF"/>
                <w:sz w:val="19"/>
                <w:szCs w:val="19"/>
              </w:rPr>
              <w:t xml:space="preserve">Shape (input → output)</w:t>
            </w:r>
          </w:p>
        </w:tc>
        <w:tc>
          <w:tcPr>
            <w:tcW w:type="dxa" w:w="216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pPr>
              <w:spacing w:after="0" w:line="264"/>
            </w:pPr>
            <w:r>
              <w:rPr>
                <w:b/>
                <w:bCs/>
                <w:color w:val="FFFFFF"/>
                <w:sz w:val="19"/>
                <w:szCs w:val="19"/>
              </w:rPr>
              <w:t xml:space="preserve">Direction</w:t>
            </w:r>
          </w:p>
        </w:tc>
      </w:tr>
      <w:tr>
        <w:trPr>
          <w:tblHeader w:val="false"/>
        </w:trPr>
        <w:tc>
          <w:tcPr>
            <w:tcW w:type="dxa" w:w="23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64"/>
            </w:pPr>
            <w:r>
              <w:rPr>
                <w:b w:val="false"/>
                <w:bCs w:val="false"/>
                <w:sz w:val="19"/>
                <w:szCs w:val="19"/>
              </w:rPr>
              <w:t xml:space="preserve">Trust</w:t>
            </w:r>
          </w:p>
        </w:tc>
        <w:tc>
          <w:tcPr>
            <w:tcW w:type="dxa" w:w="45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64"/>
            </w:pPr>
            <w:r>
              <w:rPr>
                <w:b w:val="false"/>
                <w:bCs w:val="false"/>
                <w:sz w:val="19"/>
                <w:szCs w:val="19"/>
              </w:rPr>
              <w:t xml:space="preserve">(predicted state, time) → trust score in [0,1] + switch flag</w:t>
            </w:r>
          </w:p>
        </w:tc>
        <w:tc>
          <w:tcPr>
            <w:tcW w:type="dxa" w:w="21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64"/>
            </w:pPr>
            <w:r>
              <w:rPr>
                <w:b w:val="false"/>
                <w:bCs w:val="false"/>
                <w:sz w:val="19"/>
                <w:szCs w:val="19"/>
              </w:rPr>
              <w:t xml:space="preserve">M1 → you (and M2)</w:t>
            </w:r>
          </w:p>
        </w:tc>
      </w:tr>
      <w:tr>
        <w:trPr>
          <w:tblHeader w:val="false"/>
        </w:trPr>
        <w:tc>
          <w:tcPr>
            <w:tcW w:type="dxa" w:w="2300"/>
            <w:tcBorders>
              <w:top w:val="single" w:color="BFBFBF" w:sz="1"/>
              <w:left w:val="single" w:color="BFBFBF" w:sz="1"/>
              <w:bottom w:val="single" w:color="BFBFBF" w:sz="1"/>
              <w:right w:val="single" w:color="BFBFBF" w:sz="1"/>
            </w:tcBorders>
            <w:shd w:fill="EAF1F8" w:val="clear"/>
            <w:tcMar>
              <w:top w:type="dxa" w:w="70"/>
              <w:left w:type="dxa" w:w="110"/>
              <w:bottom w:type="dxa" w:w="70"/>
              <w:right w:type="dxa" w:w="110"/>
            </w:tcMar>
          </w:tcPr>
          <w:p>
            <w:pPr>
              <w:spacing w:after="0" w:line="264"/>
            </w:pPr>
            <w:r>
              <w:rPr>
                <w:b w:val="false"/>
                <w:bCs w:val="false"/>
                <w:sz w:val="19"/>
                <w:szCs w:val="19"/>
              </w:rPr>
              <w:t xml:space="preserve">Hybrid rollout</w:t>
            </w:r>
          </w:p>
        </w:tc>
        <w:tc>
          <w:tcPr>
            <w:tcW w:type="dxa" w:w="4500"/>
            <w:tcBorders>
              <w:top w:val="single" w:color="BFBFBF" w:sz="1"/>
              <w:left w:val="single" w:color="BFBFBF" w:sz="1"/>
              <w:bottom w:val="single" w:color="BFBFBF" w:sz="1"/>
              <w:right w:val="single" w:color="BFBFBF" w:sz="1"/>
            </w:tcBorders>
            <w:shd w:fill="EAF1F8" w:val="clear"/>
            <w:tcMar>
              <w:top w:type="dxa" w:w="70"/>
              <w:left w:type="dxa" w:w="110"/>
              <w:bottom w:type="dxa" w:w="70"/>
              <w:right w:type="dxa" w:w="110"/>
            </w:tcMar>
          </w:tcPr>
          <w:p>
            <w:pPr>
              <w:spacing w:after="0" w:line="264"/>
            </w:pPr>
            <w:r>
              <w:rPr>
                <w:b w:val="false"/>
                <w:bCs w:val="false"/>
                <w:sz w:val="19"/>
                <w:szCs w:val="19"/>
              </w:rPr>
              <w:t xml:space="preserve">(IC, grid, ML solver, numerical solver, trigger) → solution u(x,t)</w:t>
            </w:r>
          </w:p>
        </w:tc>
        <w:tc>
          <w:tcPr>
            <w:tcW w:type="dxa" w:w="2160"/>
            <w:tcBorders>
              <w:top w:val="single" w:color="BFBFBF" w:sz="1"/>
              <w:left w:val="single" w:color="BFBFBF" w:sz="1"/>
              <w:bottom w:val="single" w:color="BFBFBF" w:sz="1"/>
              <w:right w:val="single" w:color="BFBFBF" w:sz="1"/>
            </w:tcBorders>
            <w:shd w:fill="EAF1F8" w:val="clear"/>
            <w:tcMar>
              <w:top w:type="dxa" w:w="70"/>
              <w:left w:type="dxa" w:w="110"/>
              <w:bottom w:type="dxa" w:w="70"/>
              <w:right w:type="dxa" w:w="110"/>
            </w:tcMar>
          </w:tcPr>
          <w:p>
            <w:pPr>
              <w:spacing w:after="0" w:line="264"/>
            </w:pPr>
            <w:r>
              <w:rPr>
                <w:b w:val="false"/>
                <w:bCs w:val="false"/>
                <w:sz w:val="19"/>
                <w:szCs w:val="19"/>
              </w:rPr>
              <w:t xml:space="preserve">M2 → you</w:t>
            </w:r>
          </w:p>
        </w:tc>
      </w:tr>
      <w:tr>
        <w:trPr>
          <w:tblHeader w:val="false"/>
        </w:trPr>
        <w:tc>
          <w:tcPr>
            <w:tcW w:type="dxa" w:w="23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64"/>
            </w:pPr>
            <w:r>
              <w:rPr>
                <w:b w:val="false"/>
                <w:bCs w:val="false"/>
                <w:sz w:val="19"/>
                <w:szCs w:val="19"/>
              </w:rPr>
              <w:t xml:space="preserve">Run / deploy</w:t>
            </w:r>
          </w:p>
        </w:tc>
        <w:tc>
          <w:tcPr>
            <w:tcW w:type="dxa" w:w="45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64"/>
            </w:pPr>
            <w:r>
              <w:rPr>
                <w:b w:val="false"/>
                <w:bCs w:val="false"/>
                <w:sz w:val="19"/>
                <w:szCs w:val="19"/>
              </w:rPr>
              <w:t xml:space="preserve">(IC, accuracy target) → solution + cost report</w:t>
            </w:r>
          </w:p>
        </w:tc>
        <w:tc>
          <w:tcPr>
            <w:tcW w:type="dxa" w:w="21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64"/>
            </w:pPr>
            <w:r>
              <w:rPr>
                <w:b w:val="false"/>
                <w:bCs w:val="false"/>
                <w:sz w:val="19"/>
                <w:szCs w:val="19"/>
              </w:rPr>
              <w:t xml:space="preserve">you → final demo</w:t>
            </w:r>
          </w:p>
        </w:tc>
      </w:tr>
    </w:tbl>
    <w:p>
      <w:pPr>
        <w:spacing w:after="140" w:line="276"/>
      </w:pPr>
      <w:r>
        <w:rPr>
          <w:b/>
          <w:bCs/>
        </w:rPr>
        <w:t xml:space="preserve">Stub-first development. </w:t>
      </w:r>
      <w:r>
        <w:t xml:space="preserve">Until M1 and M2 are ready you replace them with trivial stand-ins: a </w:t>
      </w:r>
      <w:r>
        <w:rPr>
          <w:i/>
          <w:iCs/>
        </w:rPr>
        <w:t xml:space="preserve">knob</w:t>
      </w:r>
      <w:r>
        <w:t xml:space="preserve"> in place of M1’s trust signal (e.g. “flag failure after time t*”, or a synthetic trust curve), and a </w:t>
      </w:r>
      <w:r>
        <w:rPr>
          <w:i/>
          <w:iCs/>
        </w:rPr>
        <w:t xml:space="preserve">simple corrector</w:t>
      </w:r>
      <w:r>
        <w:t xml:space="preserve"> in place of M2’s coupling (e.g. “copy the numerical solver’s state for the next k steps”). Your controller logic is identical whether it talks to a stub or the real module — that is the whole point of the contract.</w:t>
      </w:r>
    </w:p>
    <w:p>
      <w:pPr>
        <w:pBdr>
          <w:left w:val="single" w:color="C9A227" w:sz="18" w:space="8"/>
        </w:pBdr>
        <w:shd w:fill="FBF3D9" w:val="clear"/>
        <w:spacing w:after="160" w:before="60" w:line="272"/>
        <w:ind w:left="120" w:right="120"/>
      </w:pPr>
      <w:r>
        <w:rPr>
          <w:b/>
          <w:bCs/>
          <w:color w:val="7A5C00"/>
        </w:rPr>
        <w:t xml:space="preserve">Evidence — </w:t>
      </w:r>
      <w:r>
        <w:t xml:space="preserve">This independence is mandated by the plan: your module “develops and is measured independently; at integration the knob is replaced by M1’s real trust signal flowing through M2’s coupling” (</w:t>
      </w:r>
      <w:r>
        <w:rPr>
          <w:i/>
          <w:iCs/>
        </w:rPr>
        <w:t xml:space="preserve">Research Plan</w:t>
      </w:r>
      <w:r>
        <w:t xml:space="preserve">, Section 7). The same pattern — a pretrained operator coupled to a numerical solver via a residual-triggered switch — is exactly what the most recent literature does, which de-risks your design; see </w:t>
      </w:r>
      <w:hyperlink w:history="1" r:id="rIdh0in6jvt4dbs3w-8fc28k">
        <w:r>
          <w:rPr>
            <w:rStyle w:val="Hyperlink"/>
          </w:rPr>
          <w:t xml:space="preserve">ANCHOR / “Best of Both Worlds” (2025)</w:t>
        </w:r>
      </w:hyperlink>
      <w:r>
        <w:t xml:space="preserve">.</w:t>
      </w:r>
    </w:p>
    <w:p>
      <w:r>
        <w:br w:type="page"/>
      </w:r>
    </w:p>
    <w:p>
      <w:pPr>
        <w:pStyle w:val="Heading1"/>
      </w:pPr>
      <w:r>
        <w:t xml:space="preserve">Stage 0 — Project setup and the stub harness</w:t>
      </w:r>
    </w:p>
    <w:p>
      <w:pPr>
        <w:spacing w:after="140" w:line="276"/>
      </w:pPr>
      <w:r>
        <w:t xml:space="preserve">Goal of this stage: a clean folder, the shared data and solvers loading correctly, the three stubs in place, and one end-to-end “hello hybrid” run that produces a number. After Stage 0 you can build every later component against something that already runs.</w:t>
      </w:r>
    </w:p>
    <w:p>
      <w:pPr>
        <w:pStyle w:val="Heading3"/>
      </w:pPr>
      <w:r>
        <w:t xml:space="preserve">Step 0.1  Set up the environment</w:t>
      </w:r>
    </w:p>
    <w:p>
      <w:pPr>
        <w:spacing w:after="120" w:line="276"/>
      </w:pPr>
      <w:r>
        <w:rPr>
          <w:b/>
          <w:bCs/>
          <w:color w:val="1F4E79"/>
        </w:rPr>
        <w:t xml:space="preserve">WHAT  </w:t>
      </w:r>
      <w:r>
        <w:t xml:space="preserve">a reproducible Python environment with the project’s dependencies.</w:t>
      </w:r>
    </w:p>
    <w:p>
      <w:pPr>
        <w:spacing w:after="120" w:line="276"/>
      </w:pPr>
      <w:r>
        <w:rPr>
          <w:b/>
          <w:bCs/>
          <w:color w:val="1F4E79"/>
        </w:rPr>
        <w:t xml:space="preserve">WHY  </w:t>
      </w:r>
      <w:r>
        <w:t xml:space="preserve">every cost number you will later report depends on the exact library versions and hardware; an uncontrolled environment makes your measurements meaningless and irreproducible.</w:t>
      </w:r>
    </w:p>
    <w:p>
      <w:pPr>
        <w:spacing w:after="120" w:line="276"/>
      </w:pPr>
      <w:r>
        <w:rPr>
          <w:b/>
          <w:bCs/>
          <w:color w:val="1F4E79"/>
        </w:rPr>
        <w:t xml:space="preserve">HOW  </w:t>
      </w:r>
      <w:r>
        <w:t xml:space="preserve">Use the project’s </w:t>
      </w:r>
      <w:r>
        <w:rPr>
          <w:rFonts w:ascii="Consolas" w:cs="Consolas" w:eastAsia="Consolas" w:hAnsi="Consolas"/>
          <w:sz w:val="19"/>
          <w:szCs w:val="19"/>
        </w:rPr>
        <w:t xml:space="preserve">requirements.txt</w:t>
      </w:r>
      <w:r>
        <w:t xml:space="preserve"> in a fresh virtual environment (NumPy, SciPy, PyTorch, plus </w:t>
      </w:r>
      <w:r>
        <w:rPr>
          <w:rFonts w:ascii="Consolas" w:cs="Consolas" w:eastAsia="Consolas" w:hAnsi="Consolas"/>
          <w:sz w:val="19"/>
          <w:szCs w:val="19"/>
        </w:rPr>
        <w:t xml:space="preserve">psutil</w:t>
      </w:r>
      <w:r>
        <w:t xml:space="preserve"> for memory and </w:t>
      </w:r>
      <w:r>
        <w:rPr>
          <w:rFonts w:ascii="Consolas" w:cs="Consolas" w:eastAsia="Consolas" w:hAnsi="Consolas"/>
          <w:sz w:val="19"/>
          <w:szCs w:val="19"/>
        </w:rPr>
        <w:t xml:space="preserve">streamlit</w:t>
      </w:r>
      <w:r>
        <w:t xml:space="preserve"> for the later UI). Pin versions. Record your CPU, core count, and PyTorch version once — you will print these into every result file.</w:t>
      </w:r>
    </w:p>
    <w:p>
      <w:pPr>
        <w:pBdr>
          <w:left w:val="single" w:color="C9A227" w:sz="18" w:space="8"/>
        </w:pBdr>
        <w:shd w:fill="FBF3D9" w:val="clear"/>
        <w:spacing w:after="160" w:before="60" w:line="272"/>
        <w:ind w:left="120" w:right="120"/>
      </w:pPr>
      <w:r>
        <w:rPr>
          <w:b/>
          <w:bCs/>
          <w:color w:val="7A5C00"/>
        </w:rPr>
        <w:t xml:space="preserve">Evidence — </w:t>
      </w:r>
      <w:r>
        <w:t xml:space="preserve">Your existing profiler already does exactly this: it writes a </w:t>
      </w:r>
      <w:r>
        <w:rPr>
          <w:rFonts w:ascii="Consolas" w:cs="Consolas" w:eastAsia="Consolas" w:hAnsi="Consolas"/>
          <w:sz w:val="19"/>
          <w:szCs w:val="19"/>
        </w:rPr>
        <w:t xml:space="preserve">_env</w:t>
      </w:r>
      <w:r>
        <w:t xml:space="preserve"> block (platform, processor, logical cores, torch version, thread count) into </w:t>
      </w:r>
      <w:r>
        <w:rPr>
          <w:rFonts w:ascii="Consolas" w:cs="Consolas" w:eastAsia="Consolas" w:hAnsi="Consolas"/>
          <w:sz w:val="19"/>
          <w:szCs w:val="19"/>
        </w:rPr>
        <w:t xml:space="preserve">cost_summary.json</w:t>
      </w:r>
      <w:r>
        <w:t xml:space="preserve">. Reproducibility-through-recorded-provenance is the accepted defence against the “these numbers are machine-specific” objection — your write-up already argues this.</w:t>
      </w:r>
    </w:p>
    <w:p>
      <w:pPr>
        <w:pStyle w:val="Heading3"/>
      </w:pPr>
      <w:r>
        <w:t xml:space="preserve">Step 0.2  Create the module folder and its contracts</w:t>
      </w:r>
    </w:p>
    <w:p>
      <w:pPr>
        <w:spacing w:after="120" w:line="276"/>
      </w:pPr>
      <w:r>
        <w:rPr>
          <w:b/>
          <w:bCs/>
          <w:color w:val="1F4E79"/>
        </w:rPr>
        <w:t xml:space="preserve">WHAT  </w:t>
      </w:r>
      <w:r>
        <w:t xml:space="preserve">the </w:t>
      </w:r>
      <w:r>
        <w:rPr>
          <w:rFonts w:ascii="Consolas" w:cs="Consolas" w:eastAsia="Consolas" w:hAnsi="Consolas"/>
          <w:sz w:val="19"/>
          <w:szCs w:val="19"/>
        </w:rPr>
        <w:t xml:space="preserve">hybrid_pde/control - 214133E/m3_cost/</w:t>
      </w:r>
      <w:r>
        <w:t xml:space="preserve"> package with one file per component and one file defining the three contracts as plain Python dataclasses / function signatures.</w:t>
      </w:r>
    </w:p>
    <w:p>
      <w:pPr>
        <w:spacing w:after="120" w:line="276"/>
      </w:pPr>
      <w:r>
        <w:rPr>
          <w:b/>
          <w:bCs/>
          <w:color w:val="1F4E79"/>
        </w:rPr>
        <w:t xml:space="preserve">WHY  </w:t>
      </w:r>
      <w:r>
        <w:t xml:space="preserve">fixing the contracts as code (not prose) is what lets you and your teammates work without colliding. The signatures become the seams where stubs are later swapped for the real modules.</w:t>
      </w:r>
    </w:p>
    <w:p>
      <w:pPr>
        <w:spacing w:after="120" w:line="276"/>
      </w:pPr>
      <w:r>
        <w:rPr>
          <w:b/>
          <w:bCs/>
          <w:color w:val="1F4E79"/>
        </w:rPr>
        <w:t xml:space="preserve">HOW  </w:t>
      </w:r>
      <w:r>
        <w:t xml:space="preserve">Create empty modules now: </w:t>
      </w:r>
      <w:r>
        <w:rPr>
          <w:rFonts w:ascii="Consolas" w:cs="Consolas" w:eastAsia="Consolas" w:hAnsi="Consolas"/>
          <w:sz w:val="19"/>
          <w:szCs w:val="19"/>
        </w:rPr>
        <w:t xml:space="preserve">profiler.py, accuracy_cost.py, controller.py, trigger.py, coupling.py, runtime.py, config.py, groundtruth.py</w:t>
      </w:r>
      <w:r>
        <w:t xml:space="preserve">. In </w:t>
      </w:r>
      <w:r>
        <w:rPr>
          <w:rFonts w:ascii="Consolas" w:cs="Consolas" w:eastAsia="Consolas" w:hAnsi="Consolas"/>
          <w:sz w:val="19"/>
          <w:szCs w:val="19"/>
        </w:rPr>
        <w:t xml:space="preserve">config.py</w:t>
      </w:r>
      <w:r>
        <w:t xml:space="preserve"> write the three contract signatures from Section 1.5 as typed functions that currently </w:t>
      </w:r>
      <w:r>
        <w:rPr>
          <w:rFonts w:ascii="Consolas" w:cs="Consolas" w:eastAsia="Consolas" w:hAnsi="Consolas"/>
          <w:sz w:val="19"/>
          <w:szCs w:val="19"/>
        </w:rPr>
        <w:t xml:space="preserve">raise NotImplementedError</w:t>
      </w:r>
      <w:r>
        <w:t xml:space="preserve">. Everything else imports these.</w:t>
      </w:r>
    </w:p>
    <w:p>
      <w:pPr>
        <w:pBdr>
          <w:left w:val="single" w:color="C9A227" w:sz="18" w:space="8"/>
        </w:pBdr>
        <w:shd w:fill="FBF3D9" w:val="clear"/>
        <w:spacing w:after="160" w:before="60" w:line="272"/>
        <w:ind w:left="120" w:right="120"/>
      </w:pPr>
      <w:r>
        <w:rPr>
          <w:b/>
          <w:bCs/>
          <w:color w:val="7A5C00"/>
        </w:rPr>
        <w:t xml:space="preserve">Evidence — </w:t>
      </w:r>
      <w:r>
        <w:t xml:space="preserve">This is precisely the file layout the project previously used — the compiled cache in your folder shows the modules </w:t>
      </w:r>
      <w:r>
        <w:rPr>
          <w:rFonts w:ascii="Consolas" w:cs="Consolas" w:eastAsia="Consolas" w:hAnsi="Consolas"/>
          <w:sz w:val="19"/>
          <w:szCs w:val="19"/>
        </w:rPr>
        <w:t xml:space="preserve">profiler, accuracy_cost, controller, trigger, coupling, runtime, config, groundtruth, surrogate</w:t>
      </w:r>
      <w:r>
        <w:t xml:space="preserve"> all existed. The shared solver contract already exists in </w:t>
      </w:r>
      <w:r>
        <w:rPr>
          <w:rFonts w:ascii="Consolas" w:cs="Consolas" w:eastAsia="Consolas" w:hAnsi="Consolas"/>
          <w:sz w:val="19"/>
          <w:szCs w:val="19"/>
        </w:rPr>
        <w:t xml:space="preserve">hybrid_pde/common/interface.py</w:t>
      </w:r>
      <w:r>
        <w:t xml:space="preserve"> (the </w:t>
      </w:r>
      <w:r>
        <w:rPr>
          <w:rFonts w:ascii="Consolas" w:cs="Consolas" w:eastAsia="Consolas" w:hAnsi="Consolas"/>
          <w:sz w:val="19"/>
          <w:szCs w:val="19"/>
        </w:rPr>
        <w:t xml:space="preserve">AbstractSolver</w:t>
      </w:r>
      <w:r>
        <w:t xml:space="preserve"> base class with </w:t>
      </w:r>
      <w:r>
        <w:rPr>
          <w:rFonts w:ascii="Consolas" w:cs="Consolas" w:eastAsia="Consolas" w:hAnsi="Consolas"/>
          <w:sz w:val="19"/>
          <w:szCs w:val="19"/>
        </w:rPr>
        <w:t xml:space="preserve">rollout(ic, x, t)</w:t>
      </w:r>
      <w:r>
        <w:t xml:space="preserve">), so you inherit a clean, uniform way to drive any of the six solvers.</w:t>
      </w:r>
    </w:p>
    <w:p>
      <w:pPr>
        <w:pStyle w:val="Heading3"/>
      </w:pPr>
      <w:r>
        <w:t xml:space="preserve">Step 0.3  Load the shared foundation and verify it</w:t>
      </w:r>
    </w:p>
    <w:p>
      <w:pPr>
        <w:spacing w:after="120" w:line="276"/>
      </w:pPr>
      <w:r>
        <w:rPr>
          <w:b/>
          <w:bCs/>
          <w:color w:val="1F4E79"/>
        </w:rPr>
        <w:t xml:space="preserve">WHAT  </w:t>
      </w:r>
      <w:r>
        <w:t xml:space="preserve">a tiny script that loads the Cole–Hopf reference data and one ML and one numerical solver, and rolls each one out on a couple of test initial conditions (ICs).</w:t>
      </w:r>
    </w:p>
    <w:p>
      <w:pPr>
        <w:spacing w:after="120" w:line="276"/>
      </w:pPr>
      <w:r>
        <w:rPr>
          <w:b/>
          <w:bCs/>
          <w:color w:val="1F4E79"/>
        </w:rPr>
        <w:t xml:space="preserve">WHY  </w:t>
      </w:r>
      <w:r>
        <w:t xml:space="preserve">before you can control the solvers you must be able to call them and trust the result. Verifying against the known reference now prevents you debugging your controller when the real bug is a mis-loaded model.</w:t>
      </w:r>
    </w:p>
    <w:p>
      <w:pPr>
        <w:spacing w:after="120" w:line="276"/>
      </w:pPr>
      <w:r>
        <w:rPr>
          <w:b/>
          <w:bCs/>
          <w:color w:val="1F4E79"/>
        </w:rPr>
        <w:t xml:space="preserve">HOW  </w:t>
      </w:r>
      <w:r>
        <w:t xml:space="preserve">Load </w:t>
      </w:r>
      <w:r>
        <w:rPr>
          <w:rFonts w:ascii="Consolas" w:cs="Consolas" w:eastAsia="Consolas" w:hAnsi="Consolas"/>
          <w:sz w:val="19"/>
          <w:szCs w:val="19"/>
        </w:rPr>
        <w:t xml:space="preserve">burgers_colehopf.pt</w:t>
      </w:r>
      <w:r>
        <w:t xml:space="preserve"> (it contains </w:t>
      </w:r>
      <w:r>
        <w:rPr>
          <w:rFonts w:ascii="Consolas" w:cs="Consolas" w:eastAsia="Consolas" w:hAnsi="Consolas"/>
          <w:sz w:val="19"/>
          <w:szCs w:val="19"/>
        </w:rPr>
        <w:t xml:space="preserve">u, ICs, x, t, t_train_end</w:t>
      </w:r>
      <w:r>
        <w:t xml:space="preserve">). Use the held-out test ICs the rest of the project uses (indices 900–909) so your results line up with M1/M2. Roll out FNO and the spectral solver on IC 900 and confirm the spectral solution matches Cole–Hopf to ~0.01%.</w:t>
      </w:r>
    </w:p>
    <w:p>
      <w:pPr>
        <w:pBdr>
          <w:left w:val="single" w:color="C9A227" w:sz="18" w:space="8"/>
        </w:pBdr>
        <w:shd w:fill="FBF3D9" w:val="clear"/>
        <w:spacing w:after="160" w:before="60" w:line="272"/>
        <w:ind w:left="120" w:right="120"/>
      </w:pPr>
      <w:r>
        <w:rPr>
          <w:b/>
          <w:bCs/>
          <w:color w:val="7A5C00"/>
        </w:rPr>
        <w:t xml:space="preserve">Evidence — </w:t>
      </w:r>
      <w:r>
        <w:t xml:space="preserve">The same split and the same test ICs (900–909, the operator-unseen set) are the project standard — see </w:t>
      </w:r>
      <w:r>
        <w:rPr>
          <w:rFonts w:ascii="Consolas" w:cs="Consolas" w:eastAsia="Consolas" w:hAnsi="Consolas"/>
          <w:sz w:val="19"/>
          <w:szCs w:val="19"/>
        </w:rPr>
        <w:t xml:space="preserve">hybrid_pde/common/split.py</w:t>
      </w:r>
      <w:r>
        <w:t xml:space="preserve"> and the deployment write-up: “the same test ICs and grid as the reliability study … so cost and accuracy are measured on identical predictions.” Spectral matching Cole–Hopf to ~0.01% is already verified in </w:t>
      </w:r>
      <w:r>
        <w:rPr>
          <w:rFonts w:ascii="Consolas" w:cs="Consolas" w:eastAsia="Consolas" w:hAnsi="Consolas"/>
          <w:sz w:val="19"/>
          <w:szCs w:val="19"/>
        </w:rPr>
        <w:t xml:space="preserve">cost_summary.json</w:t>
      </w:r>
      <w:r>
        <w:t xml:space="preserve"> (Spectral extrap err 0.004%).</w:t>
      </w:r>
    </w:p>
    <w:p>
      <w:pPr>
        <w:pStyle w:val="Heading3"/>
      </w:pPr>
      <w:r>
        <w:t xml:space="preserve">Step 0.4  Build the three stubs</w:t>
      </w:r>
    </w:p>
    <w:p>
      <w:pPr>
        <w:spacing w:after="120" w:line="276"/>
      </w:pPr>
      <w:r>
        <w:rPr>
          <w:b/>
          <w:bCs/>
          <w:color w:val="1F4E79"/>
        </w:rPr>
        <w:t xml:space="preserve">WHAT  </w:t>
      </w:r>
      <w:r>
        <w:t xml:space="preserve">a trust-signal stub, a coupling stub, and a switch trigger — all trivial, all matching the real contracts.</w:t>
      </w:r>
    </w:p>
    <w:p>
      <w:pPr>
        <w:spacing w:after="120" w:line="276"/>
      </w:pPr>
      <w:r>
        <w:rPr>
          <w:b/>
          <w:bCs/>
          <w:color w:val="1F4E79"/>
        </w:rPr>
        <w:t xml:space="preserve">WHY  </w:t>
      </w:r>
      <w:r>
        <w:t xml:space="preserve">these let you build and measure your controller, Pareto frontier, and UI to completion before M1 or M2 exist. Without stubs you are blocked on two teammates.</w:t>
      </w:r>
    </w:p>
    <w:p>
      <w:pPr>
        <w:spacing w:after="120" w:line="276"/>
      </w:pPr>
      <w:r>
        <w:rPr>
          <w:b/>
          <w:bCs/>
          <w:color w:val="1F4E79"/>
        </w:rPr>
        <w:t xml:space="preserve">HOW  </w:t>
      </w:r>
      <w:r>
        <w:t xml:space="preserve">Three stand-ins: (a) </w:t>
      </w:r>
      <w:r>
        <w:rPr>
          <w:b/>
          <w:bCs/>
        </w:rPr>
        <w:t xml:space="preserve">trigger stub</w:t>
      </w:r>
      <w:r>
        <w:t xml:space="preserve"> — a knob that emits a switch flag from a rule you control, e.g. “switch at t = t*” or “switch every k steps”, optionally driven by a synthetic trust curve that falls smoothly after the training horizon; (b) </w:t>
      </w:r>
      <w:r>
        <w:rPr>
          <w:b/>
          <w:bCs/>
        </w:rPr>
        <w:t xml:space="preserve">coupling stub</w:t>
      </w:r>
      <w:r>
        <w:t xml:space="preserve"> — when the flag fires, replace the ML state with the numerical solver’s state for the next few steps (a crude hand-over standing in for M2’s smooth re-anchoring); (c) keep both behind the contract signatures so the swap later is a one-line change.</w:t>
      </w:r>
    </w:p>
    <w:p>
      <w:pPr>
        <w:pBdr>
          <w:left w:val="single" w:color="C9A227" w:sz="18" w:space="8"/>
        </w:pBdr>
        <w:shd w:fill="FBF3D9" w:val="clear"/>
        <w:spacing w:after="160" w:before="60" w:line="272"/>
        <w:ind w:left="120" w:right="120"/>
      </w:pPr>
      <w:r>
        <w:rPr>
          <w:b/>
          <w:bCs/>
          <w:color w:val="7A5C00"/>
        </w:rPr>
        <w:t xml:space="preserve">Evidence — </w:t>
      </w:r>
      <w:r>
        <w:t xml:space="preserve">The plan explicitly authorises this: M3 “needs only the two solvers and a parameterised trigger (a knob standing in for M1’s trust signal)”, and at integration “the knob is replaced by M1’s real trust signal flowing through M2’s coupling” (</w:t>
      </w:r>
      <w:r>
        <w:rPr>
          <w:i/>
          <w:iCs/>
        </w:rPr>
        <w:t xml:space="preserve">Research Plan</w:t>
      </w:r>
      <w:r>
        <w:t xml:space="preserve">, Section 7). M2 likewise develops “using a synthetic trigger … in place of M1’s trust signal” (Section 6), so your stub mirrors theirs.</w:t>
      </w:r>
    </w:p>
    <w:p>
      <w:pPr>
        <w:pStyle w:val="Heading3"/>
      </w:pPr>
      <w:r>
        <w:t xml:space="preserve">Step 0.5  The “hello hybrid” smoke test</w:t>
      </w:r>
    </w:p>
    <w:p>
      <w:pPr>
        <w:spacing w:after="120" w:line="276"/>
      </w:pPr>
      <w:r>
        <w:rPr>
          <w:b/>
          <w:bCs/>
          <w:color w:val="1F4E79"/>
        </w:rPr>
        <w:t xml:space="preserve">WHAT  </w:t>
      </w:r>
      <w:r>
        <w:t xml:space="preserve">one function that runs FNO forward, and whenever the trigger stub fires, swaps in the coupling stub, to the end of the horizon — then scores the result against Cole–Hopf.</w:t>
      </w:r>
    </w:p>
    <w:p>
      <w:pPr>
        <w:spacing w:after="120" w:line="276"/>
      </w:pPr>
      <w:r>
        <w:rPr>
          <w:b/>
          <w:bCs/>
          <w:color w:val="1F4E79"/>
        </w:rPr>
        <w:t xml:space="preserve">WHY  </w:t>
      </w:r>
      <w:r>
        <w:t xml:space="preserve">this is the skeleton every later stage hangs off. Getting one full hybrid rollout to produce a relative-L2 error proves the contracts fit together end to end.</w:t>
      </w:r>
    </w:p>
    <w:p>
      <w:pPr>
        <w:spacing w:after="120" w:line="276"/>
      </w:pPr>
      <w:r>
        <w:rPr>
          <w:b/>
          <w:bCs/>
          <w:color w:val="1F4E79"/>
        </w:rPr>
        <w:t xml:space="preserve">HOW  </w:t>
      </w:r>
      <w:r>
        <w:t xml:space="preserve">Compose: ML rollout → at each step ask the trigger “switch?” → if yes, hand to the coupling stub → continue → at the end compute relative L2 error vs the reference using the project’s metrics module. Expect the hybrid error to sit between pure-ML (bad) and pure-numerical (best). If it does, the harness is correct.</w:t>
      </w:r>
    </w:p>
    <w:p>
      <w:pPr>
        <w:pBdr>
          <w:left w:val="single" w:color="C9A227" w:sz="18" w:space="8"/>
        </w:pBdr>
        <w:shd w:fill="FBF3D9" w:val="clear"/>
        <w:spacing w:after="160" w:before="60" w:line="272"/>
        <w:ind w:left="120" w:right="120"/>
      </w:pPr>
      <w:r>
        <w:rPr>
          <w:b/>
          <w:bCs/>
          <w:color w:val="7A5C00"/>
        </w:rPr>
        <w:t xml:space="preserve">Evidence — </w:t>
      </w:r>
      <w:r>
        <w:t xml:space="preserve">The scoring metric is already standardised in </w:t>
      </w:r>
      <w:r>
        <w:rPr>
          <w:rFonts w:ascii="Consolas" w:cs="Consolas" w:eastAsia="Consolas" w:hAnsi="Consolas"/>
          <w:sz w:val="19"/>
          <w:szCs w:val="19"/>
        </w:rPr>
        <w:t xml:space="preserve">hybrid_pde/common/evaluate.py</w:t>
      </w:r>
      <w:r>
        <w:t xml:space="preserve"> (per-IC relative L2, split into in-window and extrapolation). Reusing it guarantees your hybrid is scored identically to the pure baselines and to M1/M2’s evaluations.</w:t>
      </w:r>
    </w:p>
    <w:p>
      <w:r>
        <w:br w:type="page"/>
      </w:r>
    </w:p>
    <w:p>
      <w:pPr>
        <w:pStyle w:val="Heading1"/>
      </w:pPr>
      <w:r>
        <w:t xml:space="preserve">Stage 1 — Component 14: the cost / latency / memory profiler</w:t>
      </w:r>
    </w:p>
    <w:p>
      <w:pPr>
        <w:spacing w:after="140" w:line="276"/>
      </w:pPr>
      <w:r>
        <w:t xml:space="preserve">This is the foundation of “cost-aware”. You cannot minimise cost you have not measured. The profiler answers, fairly and reproducibly: what does one ML step cost, what does one numerical step cost, and how do those costs scale?</w:t>
      </w:r>
    </w:p>
    <w:p>
      <w:pPr>
        <w:pStyle w:val="Heading3"/>
      </w:pPr>
      <w:r>
        <w:t xml:space="preserve">Step 1.1  Decide what to measure, and why each metric is the fair one</w:t>
      </w:r>
    </w:p>
    <w:p>
      <w:pPr>
        <w:spacing w:after="120" w:line="276"/>
      </w:pPr>
      <w:r>
        <w:rPr>
          <w:b/>
          <w:bCs/>
          <w:color w:val="1F4E79"/>
        </w:rPr>
        <w:t xml:space="preserve">WHAT  </w:t>
      </w:r>
      <w:r>
        <w:t xml:space="preserve">a fixed list of metrics: per-IC latency, throughput, peak memory, scaling exponent, and the all-important cost-vs-accuracy pairing.</w:t>
      </w:r>
    </w:p>
    <w:p>
      <w:pPr>
        <w:spacing w:after="120" w:line="276"/>
      </w:pPr>
      <w:r>
        <w:rPr>
          <w:b/>
          <w:bCs/>
          <w:color w:val="1F4E79"/>
        </w:rPr>
        <w:t xml:space="preserve">WHY  </w:t>
      </w:r>
      <w:r>
        <w:t xml:space="preserve">the most common way these comparisons go wrong is conflating one-time training cost with per-query serving cost, and quoting a machine-specific wall-time as if it were fundamental. Choosing the right metrics up front makes your conclusions defensible.</w:t>
      </w:r>
    </w:p>
    <w:p>
      <w:pPr>
        <w:spacing w:after="120" w:line="276"/>
      </w:pPr>
      <w:r>
        <w:rPr>
          <w:b/>
          <w:bCs/>
          <w:color w:val="1F4E79"/>
        </w:rPr>
        <w:t xml:space="preserve">HOW  </w:t>
      </w:r>
      <w:r>
        <w:t xml:space="preserve">Separate </w:t>
      </w:r>
      <w:r>
        <w:rPr>
          <w:b/>
          <w:bCs/>
        </w:rPr>
        <w:t xml:space="preserve">offline (training) cost</w:t>
      </w:r>
      <w:r>
        <w:t xml:space="preserve"> — paid once, then sunk — from </w:t>
      </w:r>
      <w:r>
        <w:rPr>
          <w:b/>
          <w:bCs/>
        </w:rPr>
        <w:t xml:space="preserve">online (per-query) cost</w:t>
      </w:r>
      <w:r>
        <w:t xml:space="preserve"> — paid for every new IC. This distinction is decisive: FNO/DeepONet are amortised (a new IC is one forward pass) but a PINN is re-optimised from scratch per IC, so its honest per-query cost is train-from-scratch, not the forward pass. Measure latency on a single CPU thread with warm-up runs discarded and report the median.</w:t>
      </w:r>
    </w:p>
    <w:p>
      <w:pPr>
        <w:pBdr>
          <w:left w:val="single" w:color="C9A227" w:sz="18" w:space="8"/>
        </w:pBdr>
        <w:shd w:fill="FBF3D9" w:val="clear"/>
        <w:spacing w:after="160" w:before="60" w:line="272"/>
        <w:ind w:left="120" w:right="120"/>
      </w:pPr>
      <w:r>
        <w:rPr>
          <w:b/>
          <w:bCs/>
          <w:color w:val="7A5C00"/>
        </w:rPr>
        <w:t xml:space="preserve">Evidence — </w:t>
      </w:r>
      <w:r>
        <w:t xml:space="preserve">You have already done this analysis and the reasoning is written up: “Treating the PINN’s forward pass as its inference cost would understate its true per-query cost by several orders of magnitude” — the measured gap is ~4,800× (FNO 0.44 s vs PINN 2114 s per IC). See </w:t>
      </w:r>
      <w:r>
        <w:rPr>
          <w:rFonts w:ascii="Consolas" w:cs="Consolas" w:eastAsia="Consolas" w:hAnsi="Consolas"/>
          <w:sz w:val="19"/>
          <w:szCs w:val="19"/>
        </w:rPr>
        <w:t xml:space="preserve">deployment_cost_writeup.md</w:t>
      </w:r>
      <w:r>
        <w:t xml:space="preserve">, section “What is measured, and why each metric is the fair one.”</w:t>
      </w:r>
    </w:p>
    <w:p>
      <w:pPr>
        <w:pStyle w:val="Heading3"/>
      </w:pPr>
      <w:r>
        <w:t xml:space="preserve">Step 1.2  Build the timer (warm-up + repeats + median)</w:t>
      </w:r>
    </w:p>
    <w:p>
      <w:pPr>
        <w:spacing w:after="120" w:line="276"/>
      </w:pPr>
      <w:r>
        <w:rPr>
          <w:b/>
          <w:bCs/>
          <w:color w:val="1F4E79"/>
        </w:rPr>
        <w:t xml:space="preserve">WHAT  </w:t>
      </w:r>
      <w:r>
        <w:t xml:space="preserve">a small timing helper that warms up, repeats, and returns mean ± std and median.</w:t>
      </w:r>
    </w:p>
    <w:p>
      <w:pPr>
        <w:spacing w:after="120" w:line="276"/>
      </w:pPr>
      <w:r>
        <w:rPr>
          <w:b/>
          <w:bCs/>
          <w:color w:val="1F4E79"/>
        </w:rPr>
        <w:t xml:space="preserve">WHY  </w:t>
      </w:r>
      <w:r>
        <w:t xml:space="preserve">the first runs of any PyTorch call are slow (graph build, cache warming); reporting them inflates the number. Millisecond ML calls also suffer large relative OS jitter, so a single timing is noise.</w:t>
      </w:r>
    </w:p>
    <w:p>
      <w:pPr>
        <w:spacing w:after="120" w:line="276"/>
      </w:pPr>
      <w:r>
        <w:rPr>
          <w:b/>
          <w:bCs/>
          <w:color w:val="1F4E79"/>
        </w:rPr>
        <w:t xml:space="preserve">HOW  </w:t>
      </w:r>
      <w:r>
        <w:t xml:space="preserve">Discard 5 warm-up runs, time 30 repeats, report the median (robust to scheduler spikes). For multi-second deterministic numerical solves, fewer repeats (≈10) suffice because the same jitter is a negligible fraction. Pin one CPU thread to remove core-count noise.</w:t>
      </w:r>
    </w:p>
    <w:p>
      <w:pPr>
        <w:pBdr>
          <w:left w:val="single" w:color="C9A227" w:sz="18" w:space="8"/>
        </w:pBdr>
        <w:shd w:fill="FBF3D9" w:val="clear"/>
        <w:spacing w:after="160" w:before="60" w:line="272"/>
        <w:ind w:left="120" w:right="120"/>
      </w:pPr>
      <w:r>
        <w:rPr>
          <w:b/>
          <w:bCs/>
          <w:color w:val="7A5C00"/>
        </w:rPr>
        <w:t xml:space="preserve">Evidence — </w:t>
      </w:r>
      <w:r>
        <w:t xml:space="preserve">These exact controls already exist in </w:t>
      </w:r>
      <w:r>
        <w:rPr>
          <w:rFonts w:ascii="Consolas" w:cs="Consolas" w:eastAsia="Consolas" w:hAnsi="Consolas"/>
          <w:sz w:val="19"/>
          <w:szCs w:val="19"/>
        </w:rPr>
        <w:t xml:space="preserve">hybrid_pde/evaluation/deployment_cost_analysis.py</w:t>
      </w:r>
      <w:r>
        <w:t xml:space="preserve"> (</w:t>
      </w:r>
      <w:r>
        <w:rPr>
          <w:rFonts w:ascii="Consolas" w:cs="Consolas" w:eastAsia="Consolas" w:hAnsi="Consolas"/>
          <w:sz w:val="19"/>
          <w:szCs w:val="19"/>
        </w:rPr>
        <w:t xml:space="preserve">REPEAT=30, WARMUP=5</w:t>
      </w:r>
      <w:r>
        <w:t xml:space="preserve">, </w:t>
      </w:r>
      <w:r>
        <w:rPr>
          <w:rFonts w:ascii="Consolas" w:cs="Consolas" w:eastAsia="Consolas" w:hAnsi="Consolas"/>
          <w:sz w:val="19"/>
          <w:szCs w:val="19"/>
        </w:rPr>
        <w:t xml:space="preserve">torch.set_num_threads(1)</w:t>
      </w:r>
      <w:r>
        <w:t xml:space="preserve">, median reported). Right-sizing repeats to the measured timing variance — 30 for ms-scale ML, 10 for s-scale numerical — is justified in your write-up’s “threats to validity” section.</w:t>
      </w:r>
    </w:p>
    <w:p>
      <w:pPr>
        <w:pStyle w:val="Heading3"/>
      </w:pPr>
      <w:r>
        <w:t xml:space="preserve">Step 1.3  Measure peak memory in an isolated subprocess</w:t>
      </w:r>
    </w:p>
    <w:p>
      <w:pPr>
        <w:spacing w:after="120" w:line="276"/>
      </w:pPr>
      <w:r>
        <w:rPr>
          <w:b/>
          <w:bCs/>
          <w:color w:val="1F4E79"/>
        </w:rPr>
        <w:t xml:space="preserve">WHAT  </w:t>
      </w:r>
      <w:r>
        <w:t xml:space="preserve">peak resident memory (RSS) of a fresh process that loads one model and serves one IC.</w:t>
      </w:r>
    </w:p>
    <w:p>
      <w:pPr>
        <w:spacing w:after="120" w:line="276"/>
      </w:pPr>
      <w:r>
        <w:rPr>
          <w:b/>
          <w:bCs/>
          <w:color w:val="1F4E79"/>
        </w:rPr>
        <w:t xml:space="preserve">WHY  </w:t>
      </w:r>
      <w:r>
        <w:t xml:space="preserve">measuring memory in-process is order-dependent and only captures marginal allocation; a subprocess captures everything the deployment actually needs resident, including the framework runtime.</w:t>
      </w:r>
    </w:p>
    <w:p>
      <w:pPr>
        <w:spacing w:after="120" w:line="276"/>
      </w:pPr>
      <w:r>
        <w:rPr>
          <w:b/>
          <w:bCs/>
          <w:color w:val="1F4E79"/>
        </w:rPr>
        <w:t xml:space="preserve">HOW  </w:t>
      </w:r>
      <w:r>
        <w:t xml:space="preserve">Spawn a subprocess, poll its RSS on a background thread while it does one inference, and report the peak. Report the pure-model footprint (parameters × 4 bytes) and on-disk checkpoint size separately, since the framework dominates total RSS.</w:t>
      </w:r>
    </w:p>
    <w:p>
      <w:pPr>
        <w:pBdr>
          <w:left w:val="single" w:color="C9A227" w:sz="18" w:space="8"/>
        </w:pBdr>
        <w:shd w:fill="FBF3D9" w:val="clear"/>
        <w:spacing w:after="160" w:before="60" w:line="272"/>
        <w:ind w:left="120" w:right="120"/>
      </w:pPr>
      <w:r>
        <w:rPr>
          <w:b/>
          <w:bCs/>
          <w:color w:val="7A5C00"/>
        </w:rPr>
        <w:t xml:space="preserve">Evidence — </w:t>
      </w:r>
      <w:r>
        <w:t xml:space="preserve">Your profiler does this via </w:t>
      </w:r>
      <w:r>
        <w:rPr>
          <w:rFonts w:ascii="Consolas" w:cs="Consolas" w:eastAsia="Consolas" w:hAnsi="Consolas"/>
          <w:sz w:val="19"/>
          <w:szCs w:val="19"/>
        </w:rPr>
        <w:t xml:space="preserve">rss_subprocess()</w:t>
      </w:r>
      <w:r>
        <w:t xml:space="preserve"> + a polling thread; the write-up records that an “earlier in-process delta version was discarded because it measured only marginal per-call allocation and was sensitive to call order.” This is the correct, defensible choice.</w:t>
      </w:r>
    </w:p>
    <w:p>
      <w:pPr>
        <w:pStyle w:val="Heading3"/>
      </w:pPr>
      <w:r>
        <w:t xml:space="preserve">Step 1.4  Fit the scaling exponent (the hardware-invariant result)</w:t>
      </w:r>
    </w:p>
    <w:p>
      <w:pPr>
        <w:spacing w:after="120" w:line="276"/>
      </w:pPr>
      <w:r>
        <w:rPr>
          <w:b/>
          <w:bCs/>
          <w:color w:val="1F4E79"/>
        </w:rPr>
        <w:t xml:space="preserve">WHAT  </w:t>
      </w:r>
      <w:r>
        <w:t xml:space="preserve">latency measured across grid sizes N, with a log–log slope fitted per solver.</w:t>
      </w:r>
    </w:p>
    <w:p>
      <w:pPr>
        <w:spacing w:after="120" w:line="276"/>
      </w:pPr>
      <w:r>
        <w:rPr>
          <w:b/>
          <w:bCs/>
          <w:color w:val="1F4E79"/>
        </w:rPr>
        <w:t xml:space="preserve">WHY  </w:t>
      </w:r>
      <w:r>
        <w:t xml:space="preserve">absolute wall-times move with hardware; a scaling slope does not. A slope is a ratio of log-times, so a faster CPU shifts every curve by a constant but leaves the slope unchanged. This is what makes your conclusions generalise beyond your laptop.</w:t>
      </w:r>
    </w:p>
    <w:p>
      <w:pPr>
        <w:spacing w:after="120" w:line="276"/>
      </w:pPr>
      <w:r>
        <w:rPr>
          <w:b/>
          <w:bCs/>
          <w:color w:val="1F4E79"/>
        </w:rPr>
        <w:t xml:space="preserve">HOW  </w:t>
      </w:r>
      <w:r>
        <w:t xml:space="preserve">Sweep N = nt × nx over several grid sizes, fit </w:t>
      </w:r>
      <w:r>
        <w:rPr>
          <w:rFonts w:ascii="Consolas" w:cs="Consolas" w:eastAsia="Consolas" w:hAnsi="Consolas"/>
          <w:sz w:val="19"/>
          <w:szCs w:val="19"/>
        </w:rPr>
        <w:t xml:space="preserve">slope = polyfit(log N, log t, 1)</w:t>
      </w:r>
      <w:r>
        <w:t xml:space="preserve">. Expect ≈1.0 for the ML models and Cole–Hopf (each output point is genuine compute) and a near-flat slope for FDM/spectral (their cost is set by stability-limited sub-stepping, not output size).</w:t>
      </w:r>
    </w:p>
    <w:p>
      <w:pPr>
        <w:pBdr>
          <w:left w:val="single" w:color="C9A227" w:sz="18" w:space="8"/>
        </w:pBdr>
        <w:shd w:fill="FBF3D9" w:val="clear"/>
        <w:spacing w:after="160" w:before="60" w:line="272"/>
        <w:ind w:left="120" w:right="120"/>
      </w:pPr>
      <w:r>
        <w:rPr>
          <w:b/>
          <w:bCs/>
          <w:color w:val="7A5C00"/>
        </w:rPr>
        <w:t xml:space="preserve">Evidence — </w:t>
      </w:r>
      <w:r>
        <w:t xml:space="preserve">Measured exponents in </w:t>
      </w:r>
      <w:r>
        <w:rPr>
          <w:rFonts w:ascii="Consolas" w:cs="Consolas" w:eastAsia="Consolas" w:hAnsi="Consolas"/>
          <w:sz w:val="19"/>
          <w:szCs w:val="19"/>
        </w:rPr>
        <w:t xml:space="preserve">cost_summary.json</w:t>
      </w:r>
      <w:r>
        <w:t xml:space="preserve">: FNO 1.00, DeepONet 1.04, PINN 1.02, Cole–Hopf 1.01, FDM 0.11, Spectral 0.02 — exactly the predicted pattern. The flat numerical slopes are the empirical signature of the CFL constraint (next step).</w:t>
      </w:r>
    </w:p>
    <w:p>
      <w:pPr>
        <w:pStyle w:val="Heading3"/>
      </w:pPr>
      <w:r>
        <w:t xml:space="preserve">Step 1.5  Record why numerical correction is expensive (the CFL constraint)</w:t>
      </w:r>
    </w:p>
    <w:p>
      <w:pPr>
        <w:spacing w:after="120" w:line="276"/>
      </w:pPr>
      <w:r>
        <w:rPr>
          <w:b/>
          <w:bCs/>
          <w:color w:val="1F4E79"/>
        </w:rPr>
        <w:t xml:space="preserve">WHAT  </w:t>
      </w:r>
      <w:r>
        <w:t xml:space="preserve">a measured, documented reason the numerical fallback costs what it does.</w:t>
      </w:r>
    </w:p>
    <w:p>
      <w:pPr>
        <w:spacing w:after="120" w:line="276"/>
      </w:pPr>
      <w:r>
        <w:rPr>
          <w:b/>
          <w:bCs/>
          <w:color w:val="1F4E79"/>
        </w:rPr>
        <w:t xml:space="preserve">WHY  </w:t>
      </w:r>
      <w:r>
        <w:t xml:space="preserve">your controller spends numerical effort; you must understand what drives that cost so the controller throttles the right lever. The driver is the time-step limit, not the number of output snapshots.</w:t>
      </w:r>
    </w:p>
    <w:p>
      <w:pPr>
        <w:spacing w:after="120" w:line="276"/>
      </w:pPr>
      <w:r>
        <w:rPr>
          <w:b/>
          <w:bCs/>
          <w:color w:val="1F4E79"/>
        </w:rPr>
        <w:t xml:space="preserve">HOW  </w:t>
      </w:r>
      <w:r>
        <w:t xml:space="preserve">An explicit numerical scheme is only stable if information travels at most one grid cell per step — the Courant–Friedrichs–Lewy (CFL) condition — forcing a tiny </w:t>
      </w:r>
      <w:r>
        <w:rPr>
          <w:rFonts w:ascii="Consolas" w:cs="Consolas" w:eastAsia="Consolas" w:hAnsi="Consolas"/>
          <w:sz w:val="19"/>
          <w:szCs w:val="19"/>
        </w:rPr>
        <w:t xml:space="preserve">dt</w:t>
      </w:r>
      <w:r>
        <w:t xml:space="preserve"> and therefore many steps, especially as the grid is refined. So refining </w:t>
      </w:r>
      <w:r>
        <w:rPr>
          <w:i/>
          <w:iCs/>
        </w:rPr>
        <w:t xml:space="preserve">space</w:t>
      </w:r>
      <w:r>
        <w:t xml:space="preserve">, not lengthening the horizon, is what makes the fallback expensive. Note this explicitly; it tells the controller that the cost of a correction depends on grid resolution.</w:t>
      </w:r>
    </w:p>
    <w:p>
      <w:pPr>
        <w:pBdr>
          <w:left w:val="single" w:color="C9A227" w:sz="18" w:space="8"/>
        </w:pBdr>
        <w:shd w:fill="FBF3D9" w:val="clear"/>
        <w:spacing w:after="160" w:before="60" w:line="272"/>
        <w:ind w:left="120" w:right="120"/>
      </w:pPr>
      <w:r>
        <w:rPr>
          <w:b/>
          <w:bCs/>
          <w:color w:val="7A5C00"/>
        </w:rPr>
        <w:t xml:space="preserve">Evidence — </w:t>
      </w:r>
      <w:r>
        <w:t xml:space="preserve">The CFL condition (Courant, Friedrichs &amp; Lewy, 1928) constrains the explicit time step and “makes explicit methods computationally expensive” on fine grids; see </w:t>
      </w:r>
      <w:hyperlink w:history="1" r:id="rIdz16odjopvqogbv2iisqkc">
        <w:r>
          <w:rPr>
            <w:rStyle w:val="Hyperlink"/>
          </w:rPr>
          <w:t xml:space="preserve">CFL condition</w:t>
        </w:r>
      </w:hyperlink>
      <w:r>
        <w:t xml:space="preserve">. Your FDM solver enforces it directly (</w:t>
      </w:r>
      <w:r>
        <w:rPr>
          <w:rFonts w:ascii="Consolas" w:cs="Consolas" w:eastAsia="Consolas" w:hAnsi="Consolas"/>
          <w:sz w:val="19"/>
          <w:szCs w:val="19"/>
        </w:rPr>
        <w:t xml:space="preserve">dt = 0.4·min(dx/|u|max, dx²/2ν)</w:t>
      </w:r>
      <w:r>
        <w:t xml:space="preserve"> in </w:t>
      </w:r>
      <w:r>
        <w:rPr>
          <w:rFonts w:ascii="Consolas" w:cs="Consolas" w:eastAsia="Consolas" w:hAnsi="Consolas"/>
          <w:sz w:val="19"/>
          <w:szCs w:val="19"/>
        </w:rPr>
        <w:t xml:space="preserve">deployment_cost_analysis.py</w:t>
      </w:r>
      <w:r>
        <w:t xml:space="preserve">), and your write-up concludes “a numerical fallback’s expense is driven by spatial refinement, not the prediction horizon.”</w:t>
      </w:r>
    </w:p>
    <w:p>
      <w:r>
        <w:br w:type="page"/>
      </w:r>
    </w:p>
    <w:p>
      <w:pPr>
        <w:pStyle w:val="Heading1"/>
      </w:pPr>
      <w:r>
        <w:t xml:space="preserve">Stage 2 — Component 15: the accuracy–cost model</w:t>
      </w:r>
    </w:p>
    <w:p>
      <w:pPr>
        <w:spacing w:after="140" w:line="276"/>
      </w:pPr>
      <w:r>
        <w:t xml:space="preserve">The profiler tells you the cost of one step. This stage tells you how the final answer’s accuracy and total cost move as you add more numerical correction. It is the lookup table the controller uses to choose its action.</w:t>
      </w:r>
    </w:p>
    <w:p>
      <w:pPr>
        <w:pStyle w:val="Heading3"/>
      </w:pPr>
      <w:r>
        <w:t xml:space="preserve">Step 2.1  Write the cost of one hybrid run as a formula</w:t>
      </w:r>
    </w:p>
    <w:p>
      <w:pPr>
        <w:spacing w:after="120" w:line="276"/>
      </w:pPr>
      <w:r>
        <w:rPr>
          <w:b/>
          <w:bCs/>
          <w:color w:val="1F4E79"/>
        </w:rPr>
        <w:t xml:space="preserve">WHAT  </w:t>
      </w:r>
      <w:r>
        <w:t xml:space="preserve">a simple, additive cost model: total cost ≈ (number of ML steps × ML-step cost) + (number of correction steps × correction cost).</w:t>
      </w:r>
    </w:p>
    <w:p>
      <w:pPr>
        <w:spacing w:after="120" w:line="276"/>
      </w:pPr>
      <w:r>
        <w:rPr>
          <w:b/>
          <w:bCs/>
          <w:color w:val="1F4E79"/>
        </w:rPr>
        <w:t xml:space="preserve">WHY  </w:t>
      </w:r>
      <w:r>
        <w:t xml:space="preserve">you need a cost you can predict before running, so the controller can reason about a candidate schedule rather than only measuring it after the fact.</w:t>
      </w:r>
    </w:p>
    <w:p>
      <w:pPr>
        <w:spacing w:after="120" w:line="276"/>
      </w:pPr>
      <w:r>
        <w:rPr>
          <w:b/>
          <w:bCs/>
          <w:color w:val="1F4E79"/>
        </w:rPr>
        <w:t xml:space="preserve">HOW  </w:t>
      </w:r>
      <w:r>
        <w:t xml:space="preserve">From Stage 1 you have per-step costs. Express a hybrid run’s cost as the count of cheap ML steps plus the count (and length) of numerical corrections times their measured per-step cost. Validate the formula by predicting the cost of a few hybrid runs and comparing to the measured wall-time.</w:t>
      </w:r>
    </w:p>
    <w:p>
      <w:pPr>
        <w:pBdr>
          <w:left w:val="single" w:color="C9A227" w:sz="18" w:space="8"/>
        </w:pBdr>
        <w:shd w:fill="FBF3D9" w:val="clear"/>
        <w:spacing w:after="160" w:before="60" w:line="272"/>
        <w:ind w:left="120" w:right="120"/>
      </w:pPr>
      <w:r>
        <w:rPr>
          <w:b/>
          <w:bCs/>
          <w:color w:val="7A5C00"/>
        </w:rPr>
        <w:t xml:space="preserve">Evidence — </w:t>
      </w:r>
      <w:r>
        <w:t xml:space="preserve">This additive decomposition is the standard way the cost half of a hybrid is modelled; the recent hybrid literature counts “solver interventions” as the cost unit — see </w:t>
      </w:r>
      <w:hyperlink w:history="1" r:id="rIdrwstd32t9i7i3s8z3yu0t">
        <w:r>
          <w:rPr>
            <w:rStyle w:val="Hyperlink"/>
          </w:rPr>
          <w:t xml:space="preserve">ANCHOR (2025)</w:t>
        </w:r>
      </w:hyperlink>
      <w:r>
        <w:t xml:space="preserve">, which triggers and counts corrective solver calls. Your Stage-1 measurements supply every constant in the formula.</w:t>
      </w:r>
    </w:p>
    <w:p>
      <w:pPr>
        <w:pStyle w:val="Heading3"/>
      </w:pPr>
      <w:r>
        <w:t xml:space="preserve">Step 2.2  Sweep the amount of correction and measure the curve</w:t>
      </w:r>
    </w:p>
    <w:p>
      <w:pPr>
        <w:spacing w:after="120" w:line="276"/>
      </w:pPr>
      <w:r>
        <w:rPr>
          <w:b/>
          <w:bCs/>
          <w:color w:val="1F4E79"/>
        </w:rPr>
        <w:t xml:space="preserve">WHAT  </w:t>
      </w:r>
      <w:r>
        <w:t xml:space="preserve">a table/curve: for increasing amounts of numerical correction, the resulting hybrid accuracy and total cost.</w:t>
      </w:r>
    </w:p>
    <w:p>
      <w:pPr>
        <w:spacing w:after="120" w:line="276"/>
      </w:pPr>
      <w:r>
        <w:rPr>
          <w:b/>
          <w:bCs/>
          <w:color w:val="1F4E79"/>
        </w:rPr>
        <w:t xml:space="preserve">WHY  </w:t>
      </w:r>
      <w:r>
        <w:t xml:space="preserve">this is the empirical relationship the controller exploits. It also reveals the shape of diminishing returns — past some point, extra correction buys little accuracy.</w:t>
      </w:r>
    </w:p>
    <w:p>
      <w:pPr>
        <w:spacing w:after="120" w:line="276"/>
      </w:pPr>
      <w:r>
        <w:rPr>
          <w:b/>
          <w:bCs/>
          <w:color w:val="1F4E79"/>
        </w:rPr>
        <w:t xml:space="preserve">HOW  </w:t>
      </w:r>
      <w:r>
        <w:t xml:space="preserve">Hold the IC set fixed (900–909). Vary one correction knob — e.g. correction frequency, or switch time t* — from “never correct” (pure ML) to “always correct” (pure numerical). At each setting record accuracy (vs Cole–Hopf) and cost (from the model in 2.1). Plot accuracy vs cost.</w:t>
      </w:r>
    </w:p>
    <w:p>
      <w:pPr>
        <w:pBdr>
          <w:left w:val="single" w:color="C9A227" w:sz="18" w:space="8"/>
        </w:pBdr>
        <w:shd w:fill="FBF3D9" w:val="clear"/>
        <w:spacing w:after="160" w:before="60" w:line="272"/>
        <w:ind w:left="120" w:right="120"/>
      </w:pPr>
      <w:r>
        <w:rPr>
          <w:b/>
          <w:bCs/>
          <w:color w:val="7A5C00"/>
        </w:rPr>
        <w:t xml:space="preserve">Evidence — </w:t>
      </w:r>
      <w:r>
        <w:t xml:space="preserve">Accuracy gains are cheap at first and then plateau — the standard shape of an accuracy–cost curve: “rapid accuracy gains can initially be achieved at relatively low cost, but … a plateau emerges where further enhancements demand significantly higher cost” (</w:t>
      </w:r>
      <w:hyperlink w:history="1" r:id="rIdt3frebi12jsdpkiu9iswh">
        <w:r>
          <w:rPr>
            <w:rStyle w:val="Hyperlink"/>
          </w:rPr>
          <w:t xml:space="preserve">compute–accuracy Pareto study, 2025</w:t>
        </w:r>
      </w:hyperlink>
      <w:r>
        <w:t xml:space="preserve">). Recognising the plateau is what lets the controller stop spending.</w:t>
      </w:r>
    </w:p>
    <w:p>
      <w:pPr>
        <w:pStyle w:val="Heading3"/>
      </w:pPr>
      <w:r>
        <w:t xml:space="preserve">Step 2.3  Turn the curve into a predictor</w:t>
      </w:r>
    </w:p>
    <w:p>
      <w:pPr>
        <w:spacing w:after="120" w:line="276"/>
      </w:pPr>
      <w:r>
        <w:rPr>
          <w:b/>
          <w:bCs/>
          <w:color w:val="1F4E79"/>
        </w:rPr>
        <w:t xml:space="preserve">WHAT  </w:t>
      </w:r>
      <w:r>
        <w:t xml:space="preserve">a small function that, given a desired accuracy, returns the minimum correction amount expected to reach it (and vice versa).</w:t>
      </w:r>
    </w:p>
    <w:p>
      <w:pPr>
        <w:spacing w:after="120" w:line="276"/>
      </w:pPr>
      <w:r>
        <w:rPr>
          <w:b/>
          <w:bCs/>
          <w:color w:val="1F4E79"/>
        </w:rPr>
        <w:t xml:space="preserve">WHY  </w:t>
      </w:r>
      <w:r>
        <w:t xml:space="preserve">the controller and the Pareto sweep both need to go from “target accuracy” to “how much to correct” without re-running the whole sweep each time.</w:t>
      </w:r>
    </w:p>
    <w:p>
      <w:pPr>
        <w:spacing w:after="120" w:line="276"/>
      </w:pPr>
      <w:r>
        <w:rPr>
          <w:b/>
          <w:bCs/>
          <w:color w:val="1F4E79"/>
        </w:rPr>
        <w:t xml:space="preserve">HOW  </w:t>
      </w:r>
      <w:r>
        <w:t xml:space="preserve">Fit a monotone interpolation through the swept points (accuracy as a function of correction effort). Invert it to map a target accuracy to the cheapest effort that achieves it. Keep it per-model, since FNO, PINN and DeepONet have very different baseline errors.</w:t>
      </w:r>
    </w:p>
    <w:p>
      <w:pPr>
        <w:pBdr>
          <w:left w:val="single" w:color="C9A227" w:sz="18" w:space="8"/>
        </w:pBdr>
        <w:shd w:fill="FBF3D9" w:val="clear"/>
        <w:spacing w:after="160" w:before="60" w:line="272"/>
        <w:ind w:left="120" w:right="120"/>
      </w:pPr>
      <w:r>
        <w:rPr>
          <w:b/>
          <w:bCs/>
          <w:color w:val="7A5C00"/>
        </w:rPr>
        <w:t xml:space="preserve">Evidence — </w:t>
      </w:r>
      <w:r>
        <w:t xml:space="preserve">Per-model treatment is required because baseline accuracy differs by ~100× (FNO 0.57% vs DeepONet 29.3% in-window; </w:t>
      </w:r>
      <w:r>
        <w:rPr>
          <w:rFonts w:ascii="Consolas" w:cs="Consolas" w:eastAsia="Consolas" w:hAnsi="Consolas"/>
          <w:sz w:val="19"/>
          <w:szCs w:val="19"/>
        </w:rPr>
        <w:t xml:space="preserve">cost_summary.json</w:t>
      </w:r>
      <w:r>
        <w:t xml:space="preserve">). A single shared curve would mis-budget for at least one model — your reliability data proves the models are not interchangeable.</w:t>
      </w:r>
    </w:p>
    <w:p>
      <w:r>
        <w:br w:type="page"/>
      </w:r>
    </w:p>
    <w:p>
      <w:pPr>
        <w:pStyle w:val="Heading1"/>
      </w:pPr>
      <w:r>
        <w:t xml:space="preserve">Stage 3 — Component 16: the adaptive controller (the heart of the module)</w:t>
      </w:r>
    </w:p>
    <w:p>
      <w:pPr>
        <w:spacing w:after="140" w:line="276"/>
      </w:pPr>
      <w:r>
        <w:t xml:space="preserve">This is your core contribution: a policy that, given an accuracy budget and a live trust input, decides when and how much to correct so total cost is minimised. Build it in three rungs — fixed baseline, then rule-based adaptive, then (optionally) learned — so you always have something that works.</w:t>
      </w:r>
    </w:p>
    <w:p>
      <w:pPr>
        <w:pStyle w:val="Heading3"/>
      </w:pPr>
      <w:r>
        <w:t xml:space="preserve">Step 3.1  State the control problem precisely</w:t>
      </w:r>
    </w:p>
    <w:p>
      <w:pPr>
        <w:spacing w:after="120" w:line="276"/>
      </w:pPr>
      <w:r>
        <w:rPr>
          <w:b/>
          <w:bCs/>
          <w:color w:val="1F4E79"/>
        </w:rPr>
        <w:t xml:space="preserve">WHAT  </w:t>
      </w:r>
      <w:r>
        <w:t xml:space="preserve">a one-paragraph definition: inputs (live trust value, accuracy budget, measured step costs), action (correct now? for how long?), objective (meet the budget at minimum cost), constraint (no ground truth at decision time).</w:t>
      </w:r>
    </w:p>
    <w:p>
      <w:pPr>
        <w:spacing w:after="120" w:line="276"/>
      </w:pPr>
      <w:r>
        <w:rPr>
          <w:b/>
          <w:bCs/>
          <w:color w:val="1F4E79"/>
        </w:rPr>
        <w:t xml:space="preserve">WHY  </w:t>
      </w:r>
      <w:r>
        <w:t xml:space="preserve">a controller is only meaningful against a stated objective. Writing it down stops you optimising the wrong thing and gives the panel a crisp claim to evaluate.</w:t>
      </w:r>
    </w:p>
    <w:p>
      <w:pPr>
        <w:spacing w:after="120" w:line="276"/>
      </w:pPr>
      <w:r>
        <w:rPr>
          <w:b/>
          <w:bCs/>
          <w:color w:val="1F4E79"/>
        </w:rPr>
        <w:t xml:space="preserve">HOW  </w:t>
      </w:r>
      <w:r>
        <w:t xml:space="preserve">Frame it as online decision-making under uncertainty: at each step you see a noisy reliability signal, not the true error, and must choose an action whose cost you know but whose accuracy benefit is uncertain. The objective is minimum total cost subject to final error ≤ target.</w:t>
      </w:r>
    </w:p>
    <w:p>
      <w:pPr>
        <w:pBdr>
          <w:left w:val="single" w:color="C9A227" w:sz="18" w:space="8"/>
        </w:pBdr>
        <w:shd w:fill="FBF3D9" w:val="clear"/>
        <w:spacing w:after="160" w:before="60" w:line="272"/>
        <w:ind w:left="120" w:right="120"/>
      </w:pPr>
      <w:r>
        <w:rPr>
          <w:b/>
          <w:bCs/>
          <w:color w:val="7A5C00"/>
        </w:rPr>
        <w:t xml:space="preserve">Evidence — </w:t>
      </w:r>
      <w:r>
        <w:t xml:space="preserve">The “no ground truth at decision time” constraint is the defining hard problem of the whole project (</w:t>
      </w:r>
      <w:r>
        <w:rPr>
          <w:i/>
          <w:iCs/>
        </w:rPr>
        <w:t xml:space="preserve">Research Plan</w:t>
      </w:r>
      <w:r>
        <w:t xml:space="preserve">, Section 1). It is also why a data-free reliability proxy (M1’s trust signal) is necessary — the same design choice ANCHOR makes with its residual estimator (</w:t>
      </w:r>
      <w:hyperlink w:history="1" r:id="rId3p3zld1alv0qljcs0qfhq">
        <w:r>
          <w:rPr>
            <w:rStyle w:val="Hyperlink"/>
          </w:rPr>
          <w:t xml:space="preserve">2025</w:t>
        </w:r>
      </w:hyperlink>
      <w:r>
        <w:t xml:space="preserve">).</w:t>
      </w:r>
    </w:p>
    <w:p>
      <w:pPr>
        <w:pStyle w:val="Heading3"/>
      </w:pPr>
      <w:r>
        <w:t xml:space="preserve">Step 3.2  Baseline first: the fixed-interval corrector</w:t>
      </w:r>
    </w:p>
    <w:p>
      <w:pPr>
        <w:spacing w:after="120" w:line="276"/>
      </w:pPr>
      <w:r>
        <w:rPr>
          <w:b/>
          <w:bCs/>
          <w:color w:val="1F4E79"/>
        </w:rPr>
        <w:t xml:space="preserve">WHAT  </w:t>
      </w:r>
      <w:r>
        <w:t xml:space="preserve">a non-adaptive controller that corrects on a fixed schedule (every k steps, or switch fully at a fixed time).</w:t>
      </w:r>
    </w:p>
    <w:p>
      <w:pPr>
        <w:spacing w:after="120" w:line="276"/>
      </w:pPr>
      <w:r>
        <w:rPr>
          <w:b/>
          <w:bCs/>
          <w:color w:val="1F4E79"/>
        </w:rPr>
        <w:t xml:space="preserve">WHY  </w:t>
      </w:r>
      <w:r>
        <w:t xml:space="preserve">you need a baseline to prove your adaptive controller is actually better, and a guaranteed-working fallback if the trust signal turns out too noisy to act on. Always have the simple version running.</w:t>
      </w:r>
    </w:p>
    <w:p>
      <w:pPr>
        <w:spacing w:after="120" w:line="276"/>
      </w:pPr>
      <w:r>
        <w:rPr>
          <w:b/>
          <w:bCs/>
          <w:color w:val="1F4E79"/>
        </w:rPr>
        <w:t xml:space="preserve">HOW  </w:t>
      </w:r>
      <w:r>
        <w:t xml:space="preserve">Implement “correct every k steps” and “switch to numerical at t*”. These have no dependence on the trust signal, so they run even with M1 absent. Record their accuracy and cost; these become the points your adaptive controller must beat.</w:t>
      </w:r>
    </w:p>
    <w:p>
      <w:pPr>
        <w:pBdr>
          <w:left w:val="single" w:color="C9A227" w:sz="18" w:space="8"/>
        </w:pBdr>
        <w:shd w:fill="FBF3D9" w:val="clear"/>
        <w:spacing w:after="160" w:before="60" w:line="272"/>
        <w:ind w:left="120" w:right="120"/>
      </w:pPr>
      <w:r>
        <w:rPr>
          <w:b/>
          <w:bCs/>
          <w:color w:val="7A5C00"/>
        </w:rPr>
        <w:t xml:space="preserve">Evidence — </w:t>
      </w:r>
      <w:r>
        <w:t xml:space="preserve">The plan names this as both the ablation baseline (“adaptive vs fixed controller”, Section 7 Evaluation) and the risk mitigation: if the trust signal is “too noisy to switch on”, “fall back to a conservative fixed-interval corrector so the hybrid still works” (Section 12). Building it first satisfies both.</w:t>
      </w:r>
    </w:p>
    <w:p>
      <w:pPr>
        <w:pStyle w:val="Heading3"/>
      </w:pPr>
      <w:r>
        <w:t xml:space="preserve">Step 3.3  The rule-based adaptive controller with hysteresis</w:t>
      </w:r>
    </w:p>
    <w:p>
      <w:pPr>
        <w:spacing w:after="120" w:line="276"/>
      </w:pPr>
      <w:r>
        <w:rPr>
          <w:b/>
          <w:bCs/>
          <w:color w:val="1F4E79"/>
        </w:rPr>
        <w:t xml:space="preserve">WHAT  </w:t>
      </w:r>
      <w:r>
        <w:t xml:space="preserve">a threshold policy: correct when the trust signal drops below a threshold; stop when it recovers above a higher threshold.</w:t>
      </w:r>
    </w:p>
    <w:p>
      <w:pPr>
        <w:spacing w:after="120" w:line="276"/>
      </w:pPr>
      <w:r>
        <w:rPr>
          <w:b/>
          <w:bCs/>
          <w:color w:val="1F4E79"/>
        </w:rPr>
        <w:t xml:space="preserve">WHY  </w:t>
      </w:r>
      <w:r>
        <w:t xml:space="preserve">this is the minimal adaptive controller — it spends numerical effort only when the model is judged unreliable, which is the entire cost argument. The two-threshold (deadband) design prevents “chattering”: rapid on/off switching when the signal hovers at one threshold, which would waste corrections and create visible jumps.</w:t>
      </w:r>
    </w:p>
    <w:p>
      <w:pPr>
        <w:spacing w:after="120" w:line="276"/>
      </w:pPr>
      <w:r>
        <w:rPr>
          <w:b/>
          <w:bCs/>
          <w:color w:val="1F4E79"/>
        </w:rPr>
        <w:t xml:space="preserve">HOW  </w:t>
      </w:r>
      <w:r>
        <w:t xml:space="preserve">Use two thresholds (a deadband): start correcting at trust &lt; θ_low, stop only once trust &gt; θ_high &gt; θ_low. Choose the amount of correction from the accuracy-budget map (Stage 2). Pick the thresholds from training data only (never the test set) so there is no leakage. A tighter accuracy budget lowers θ_low (correct sooner, more often).</w:t>
      </w:r>
    </w:p>
    <w:p>
      <w:pPr>
        <w:pBdr>
          <w:left w:val="single" w:color="C9A227" w:sz="18" w:space="8"/>
        </w:pBdr>
        <w:shd w:fill="FBF3D9" w:val="clear"/>
        <w:spacing w:after="160" w:before="60" w:line="272"/>
        <w:ind w:left="120" w:right="120"/>
      </w:pPr>
      <w:r>
        <w:rPr>
          <w:b/>
          <w:bCs/>
          <w:color w:val="7A5C00"/>
        </w:rPr>
        <w:t xml:space="preserve">Evidence — </w:t>
      </w:r>
      <w:r>
        <w:t xml:space="preserve">The two-threshold deadband is the textbook fix for chattering in on/off (“bang-bang”) control: “a deadband (hysteresis) … prevents unnecessary switching and enhances stability” (</w:t>
      </w:r>
      <w:hyperlink w:history="1" r:id="rIdaow0_woasi8x56ax5sa6b">
        <w:r>
          <w:rPr>
            <w:rStyle w:val="Hyperlink"/>
          </w:rPr>
          <w:t xml:space="preserve">bang-bang / hysteresis control</w:t>
        </w:r>
      </w:hyperlink>
      <w:r>
        <w:t xml:space="preserve">). Selecting thresholds on training data only mirrors M1’s own no-leakage threshold method (</w:t>
      </w:r>
      <w:r>
        <w:rPr>
          <w:i/>
          <w:iCs/>
        </w:rPr>
        <w:t xml:space="preserve">Research Plan</w:t>
      </w:r>
      <w:r>
        <w:t xml:space="preserve">, Section 5, component 7).</w:t>
      </w:r>
    </w:p>
    <w:p>
      <w:pPr>
        <w:pStyle w:val="Heading3"/>
      </w:pPr>
      <w:r>
        <w:t xml:space="preserve">Step 3.4  Map the accuracy budget to controller settings</w:t>
      </w:r>
    </w:p>
    <w:p>
      <w:pPr>
        <w:spacing w:after="120" w:line="276"/>
      </w:pPr>
      <w:r>
        <w:rPr>
          <w:b/>
          <w:bCs/>
          <w:color w:val="1F4E79"/>
        </w:rPr>
        <w:t xml:space="preserve">WHAT  </w:t>
      </w:r>
      <w:r>
        <w:t xml:space="preserve">the function that turns the user’s single accuracy knob into concrete thresholds and correction amounts.</w:t>
      </w:r>
    </w:p>
    <w:p>
      <w:pPr>
        <w:spacing w:after="120" w:line="276"/>
      </w:pPr>
      <w:r>
        <w:rPr>
          <w:b/>
          <w:bCs/>
          <w:color w:val="1F4E79"/>
        </w:rPr>
        <w:t xml:space="preserve">WHY  </w:t>
      </w:r>
      <w:r>
        <w:t xml:space="preserve">the deployment promise is “one knob”. That knob must deterministically set the controller so the same target gives the same behaviour.</w:t>
      </w:r>
    </w:p>
    <w:p>
      <w:pPr>
        <w:spacing w:after="120" w:line="276"/>
      </w:pPr>
      <w:r>
        <w:rPr>
          <w:b/>
          <w:bCs/>
          <w:color w:val="1F4E79"/>
        </w:rPr>
        <w:t xml:space="preserve">HOW  </w:t>
      </w:r>
      <w:r>
        <w:t xml:space="preserve">Compose Stage 2’s predictor with Step 3.3’s thresholds: target accuracy → required correction effort → threshold setting. Calibrate on training ICs so that asking for, say, 5% error reliably yields ≤5% on held-out data.</w:t>
      </w:r>
    </w:p>
    <w:p>
      <w:pPr>
        <w:pBdr>
          <w:left w:val="single" w:color="C9A227" w:sz="18" w:space="8"/>
        </w:pBdr>
        <w:shd w:fill="FBF3D9" w:val="clear"/>
        <w:spacing w:after="160" w:before="60" w:line="272"/>
        <w:ind w:left="120" w:right="120"/>
      </w:pPr>
      <w:r>
        <w:rPr>
          <w:b/>
          <w:bCs/>
          <w:color w:val="7A5C00"/>
        </w:rPr>
        <w:t xml:space="preserve">Evidence — </w:t>
      </w:r>
      <w:r>
        <w:t xml:space="preserve">The deliverable is explicitly “a runnable system … with one knob (accuracy target)” (</w:t>
      </w:r>
      <w:r>
        <w:rPr>
          <w:i/>
          <w:iCs/>
        </w:rPr>
        <w:t xml:space="preserve">Research Plan</w:t>
      </w:r>
      <w:r>
        <w:t xml:space="preserve">, Section 7, component 18). Calibrating the knob on training data and validating the hit-rate on unseen data is the success criterion in Section 10 (“target hit-rate”).</w:t>
      </w:r>
    </w:p>
    <w:p>
      <w:pPr>
        <w:pStyle w:val="Heading3"/>
      </w:pPr>
      <w:r>
        <w:t xml:space="preserve">Step 3.5  (Stretch) An optimisation- or learning-based controller</w:t>
      </w:r>
    </w:p>
    <w:p>
      <w:pPr>
        <w:spacing w:after="120" w:line="276"/>
      </w:pPr>
      <w:r>
        <w:rPr>
          <w:b/>
          <w:bCs/>
          <w:color w:val="1F4E79"/>
        </w:rPr>
        <w:t xml:space="preserve">WHAT  </w:t>
      </w:r>
      <w:r>
        <w:t xml:space="preserve">an optional upgrade that chooses corrections by optimising expected cost rather than a fixed rule.</w:t>
      </w:r>
    </w:p>
    <w:p>
      <w:pPr>
        <w:spacing w:after="120" w:line="276"/>
      </w:pPr>
      <w:r>
        <w:rPr>
          <w:b/>
          <w:bCs/>
          <w:color w:val="1F4E79"/>
        </w:rPr>
        <w:t xml:space="preserve">WHY  </w:t>
      </w:r>
      <w:r>
        <w:t xml:space="preserve">it can squeeze more out of the trade-off and strengthens the “method, not just a measurement” claim — but it is a stretch, attempted only after the rule-based version is fully working and evaluated.</w:t>
      </w:r>
    </w:p>
    <w:p>
      <w:pPr>
        <w:spacing w:after="120" w:line="276"/>
      </w:pPr>
      <w:r>
        <w:rPr>
          <w:b/>
          <w:bCs/>
          <w:color w:val="1F4E79"/>
        </w:rPr>
        <w:t xml:space="preserve">HOW  </w:t>
      </w:r>
      <w:r>
        <w:t xml:space="preserve">Cast the per-step decision as minimising expected total cost given the trust value and the accuracy-budget model; solve with a small search or a lightweight learned policy over the trust trajectory. Compare head-to-head with the rule-based controller in the ablation.</w:t>
      </w:r>
    </w:p>
    <w:p>
      <w:pPr>
        <w:pBdr>
          <w:left w:val="single" w:color="C9A227" w:sz="18" w:space="8"/>
        </w:pBdr>
        <w:shd w:fill="FBF3D9" w:val="clear"/>
        <w:spacing w:after="160" w:before="60" w:line="272"/>
        <w:ind w:left="120" w:right="120"/>
      </w:pPr>
      <w:r>
        <w:rPr>
          <w:b/>
          <w:bCs/>
          <w:color w:val="7A5C00"/>
        </w:rPr>
        <w:t xml:space="preserve">Evidence — </w:t>
      </w:r>
      <w:r>
        <w:t xml:space="preserve">The plan flags this exact scope split: “rule-based threshold control first; optionally a small optimisation- or learning-based controller as a stretch” (Section 7, component 16) and lists “controller ablations (adaptive vs fixed)” as the evaluation (Section 7). Keeping it optional matches the “minimal viable + optional stretch” risk strategy (Section 12).</w:t>
      </w:r>
    </w:p>
    <w:p>
      <w:r>
        <w:br w:type="page"/>
      </w:r>
    </w:p>
    <w:p>
      <w:pPr>
        <w:pStyle w:val="Heading1"/>
      </w:pPr>
      <w:r>
        <w:t xml:space="preserve">Stage 4 — Component 17: the Pareto frontier (your headline proof)</w:t>
      </w:r>
    </w:p>
    <w:p>
      <w:pPr>
        <w:spacing w:after="140" w:line="276"/>
      </w:pPr>
      <w:r>
        <w:t xml:space="preserve">This is the single result that proves the hybrid is worth building: a curve showing the hybrid is cheaper than pure-numerical at the same accuracy, and more accurate than pure-ML at the same cost.</w:t>
      </w:r>
    </w:p>
    <w:p>
      <w:pPr>
        <w:pStyle w:val="Heading3"/>
      </w:pPr>
      <w:r>
        <w:t xml:space="preserve">Step 4.1  Use a Pareto frontier, not a single composite score</w:t>
      </w:r>
    </w:p>
    <w:p>
      <w:pPr>
        <w:spacing w:after="120" w:line="276"/>
      </w:pPr>
      <w:r>
        <w:rPr>
          <w:b/>
          <w:bCs/>
          <w:color w:val="1F4E79"/>
        </w:rPr>
        <w:t xml:space="preserve">WHAT  </w:t>
      </w:r>
      <w:r>
        <w:t xml:space="preserve">the decision to report a cost-vs-accuracy frontier plus explicit thresholds, rather than one hand-defined “efficiency index”.</w:t>
      </w:r>
    </w:p>
    <w:p>
      <w:pPr>
        <w:spacing w:after="120" w:line="276"/>
      </w:pPr>
      <w:r>
        <w:rPr>
          <w:b/>
          <w:bCs/>
          <w:color w:val="1F4E79"/>
        </w:rPr>
        <w:t xml:space="preserve">WHY  </w:t>
      </w:r>
      <w:r>
        <w:t xml:space="preserve">collapsing latency (seconds) and error (dimensionless) into one number hides an arbitrary weighting; the ranking can be flipped just by changing the weight, and it throws away the very trade-off the orchestrator needs.</w:t>
      </w:r>
    </w:p>
    <w:p>
      <w:pPr>
        <w:spacing w:after="120" w:line="276"/>
      </w:pPr>
      <w:r>
        <w:rPr>
          <w:b/>
          <w:bCs/>
          <w:color w:val="1F4E79"/>
        </w:rPr>
        <w:t xml:space="preserve">HOW  </w:t>
      </w:r>
      <w:r>
        <w:t xml:space="preserve">For each method, plot per-query cost (log x) against relative error (y). A point is “dominated” if another point is better on both axes. The non-dominated set is the Pareto frontier. Add explicit SLA lines (e.g. “error ≤ 5%”) to read off the cheapest method meeting a target.</w:t>
      </w:r>
    </w:p>
    <w:p>
      <w:pPr>
        <w:pBdr>
          <w:left w:val="single" w:color="C9A227" w:sz="18" w:space="8"/>
        </w:pBdr>
        <w:shd w:fill="FBF3D9" w:val="clear"/>
        <w:spacing w:after="160" w:before="60" w:line="272"/>
        <w:ind w:left="120" w:right="120"/>
      </w:pPr>
      <w:r>
        <w:rPr>
          <w:b/>
          <w:bCs/>
          <w:color w:val="7A5C00"/>
        </w:rPr>
        <w:t xml:space="preserve">Evidence — </w:t>
      </w:r>
      <w:r>
        <w:t xml:space="preserve">Your own write-up argues against the earlier “Hybrid Efficiency Index” on exactly these grounds — “not dimensionally meaningful … hides the trade-off … the accepted alternative is the Pareto front plus explicit SLA thresholds” (</w:t>
      </w:r>
      <w:r>
        <w:rPr>
          <w:rFonts w:ascii="Consolas" w:cs="Consolas" w:eastAsia="Consolas" w:hAnsi="Consolas"/>
          <w:sz w:val="19"/>
          <w:szCs w:val="19"/>
        </w:rPr>
        <w:t xml:space="preserve">deployment_cost_writeup.md</w:t>
      </w:r>
      <w:r>
        <w:t xml:space="preserve">). This matches standard ML-systems practice (</w:t>
      </w:r>
      <w:hyperlink w:history="1" r:id="rId5-prwl9ubdbwgs2uphm2d">
        <w:r>
          <w:rPr>
            <w:rStyle w:val="Hyperlink"/>
          </w:rPr>
          <w:t xml:space="preserve">Pareto frontiers for deployment, 2025</w:t>
        </w:r>
      </w:hyperlink>
      <w:r>
        <w:t xml:space="preserve">): “expose the specific computational expenditure required to achieve a given level of accuracy.”</w:t>
      </w:r>
    </w:p>
    <w:p>
      <w:pPr>
        <w:pStyle w:val="Heading3"/>
      </w:pPr>
      <w:r>
        <w:t xml:space="preserve">Step 4.2  Sweep the accuracy target and build the frontier</w:t>
      </w:r>
    </w:p>
    <w:p>
      <w:pPr>
        <w:spacing w:after="120" w:line="276"/>
      </w:pPr>
      <w:r>
        <w:rPr>
          <w:b/>
          <w:bCs/>
          <w:color w:val="1F4E79"/>
        </w:rPr>
        <w:t xml:space="preserve">WHAT  </w:t>
      </w:r>
      <w:r>
        <w:t xml:space="preserve">one curve per method (pure-ML, pure-numerical, hybrid) on the cost–accuracy plane, the hybrid curve traced by sweeping its accuracy knob.</w:t>
      </w:r>
    </w:p>
    <w:p>
      <w:pPr>
        <w:spacing w:after="120" w:line="276"/>
      </w:pPr>
      <w:r>
        <w:rPr>
          <w:b/>
          <w:bCs/>
          <w:color w:val="1F4E79"/>
        </w:rPr>
        <w:t xml:space="preserve">WHY  </w:t>
      </w:r>
      <w:r>
        <w:t xml:space="preserve">a single hybrid point proves nothing; the frontier shows the hybrid spans the whole trade-off and where it sits relative to the extremes.</w:t>
      </w:r>
    </w:p>
    <w:p>
      <w:pPr>
        <w:spacing w:after="120" w:line="276"/>
      </w:pPr>
      <w:r>
        <w:rPr>
          <w:b/>
          <w:bCs/>
          <w:color w:val="1F4E79"/>
        </w:rPr>
        <w:t xml:space="preserve">HOW  </w:t>
      </w:r>
      <w:r>
        <w:t xml:space="preserve">Run the controller (Stage 3) across a range of accuracy targets; each target yields one (cost, error) point. Plot against the fixed points for pure-ML (cheap, high error) and pure-numerical (accurate, expensive). Use the same test ICs and grid as everything else.</w:t>
      </w:r>
    </w:p>
    <w:p>
      <w:pPr>
        <w:pBdr>
          <w:left w:val="single" w:color="C9A227" w:sz="18" w:space="8"/>
        </w:pBdr>
        <w:shd w:fill="FBF3D9" w:val="clear"/>
        <w:spacing w:after="160" w:before="60" w:line="272"/>
        <w:ind w:left="120" w:right="120"/>
      </w:pPr>
      <w:r>
        <w:rPr>
          <w:b/>
          <w:bCs/>
          <w:color w:val="7A5C00"/>
        </w:rPr>
        <w:t xml:space="preserve">Evidence — </w:t>
      </w:r>
      <w:r>
        <w:t xml:space="preserve">You already have the two anchor regions measured: pure-ML at 14–61% extrap error and sub-second cost; pure-numerical (spectral) at ≈0% error and ~1.75 s (</w:t>
      </w:r>
      <w:r>
        <w:rPr>
          <w:rFonts w:ascii="Consolas" w:cs="Consolas" w:eastAsia="Consolas" w:hAnsi="Consolas"/>
          <w:sz w:val="19"/>
          <w:szCs w:val="19"/>
        </w:rPr>
        <w:t xml:space="preserve">cost_summary.json</w:t>
      </w:r>
      <w:r>
        <w:t xml:space="preserve">). The hybrid curve is the new contribution that connects them — and the figure </w:t>
      </w:r>
      <w:r>
        <w:rPr>
          <w:rFonts w:ascii="Consolas" w:cs="Consolas" w:eastAsia="Consolas" w:hAnsi="Consolas"/>
          <w:sz w:val="19"/>
          <w:szCs w:val="19"/>
        </w:rPr>
        <w:t xml:space="preserve">results/deployment/2_cost_accuracy.png</w:t>
      </w:r>
      <w:r>
        <w:t xml:space="preserve"> is already the template.</w:t>
      </w:r>
    </w:p>
    <w:p>
      <w:pPr>
        <w:pStyle w:val="Heading3"/>
      </w:pPr>
      <w:r>
        <w:t xml:space="preserve">Step 4.3  Demonstrate dominance honestly</w:t>
      </w:r>
    </w:p>
    <w:p>
      <w:pPr>
        <w:spacing w:after="120" w:line="276"/>
      </w:pPr>
      <w:r>
        <w:rPr>
          <w:b/>
          <w:bCs/>
          <w:color w:val="1F4E79"/>
        </w:rPr>
        <w:t xml:space="preserve">WHAT  </w:t>
      </w:r>
      <w:r>
        <w:t xml:space="preserve">an explicit statement of where the hybrid dominates each baseline — and where it does not.</w:t>
      </w:r>
    </w:p>
    <w:p>
      <w:pPr>
        <w:spacing w:after="120" w:line="276"/>
      </w:pPr>
      <w:r>
        <w:rPr>
          <w:b/>
          <w:bCs/>
          <w:color w:val="1F4E79"/>
        </w:rPr>
        <w:t xml:space="preserve">WHY  </w:t>
      </w:r>
      <w:r>
        <w:t xml:space="preserve">an honest, narrow claim is stronger before a panel than an overclaim. Your own cost study already found the trade-off is window-dependent, so claiming a clean universal win would be wrong.</w:t>
      </w:r>
    </w:p>
    <w:p>
      <w:pPr>
        <w:spacing w:after="120" w:line="276"/>
      </w:pPr>
      <w:r>
        <w:rPr>
          <w:b/>
          <w:bCs/>
          <w:color w:val="1F4E79"/>
        </w:rPr>
        <w:t xml:space="preserve">HOW  </w:t>
      </w:r>
      <w:r>
        <w:t xml:space="preserve">Mark, for each accuracy target, whether the hybrid is below-and-left of both baselines. Report the win as “at target X, the hybrid reaches the same accuracy as numerical at Y% of the cost.” State the regime where a pure baseline still wins (e.g. inside the training window where FNO alone is already accurate and cheapest).</w:t>
      </w:r>
    </w:p>
    <w:p>
      <w:pPr>
        <w:pBdr>
          <w:left w:val="single" w:color="C9A227" w:sz="18" w:space="8"/>
        </w:pBdr>
        <w:shd w:fill="FBF3D9" w:val="clear"/>
        <w:spacing w:after="160" w:before="60" w:line="272"/>
        <w:ind w:left="120" w:right="120"/>
      </w:pPr>
      <w:r>
        <w:rPr>
          <w:b/>
          <w:bCs/>
          <w:color w:val="7A5C00"/>
        </w:rPr>
        <w:t xml:space="preserve">Evidence — </w:t>
      </w:r>
      <w:r>
        <w:t xml:space="preserve">Honest positioning is mandated: “report the frontier honestly even if the win is modest” (</w:t>
      </w:r>
      <w:r>
        <w:rPr>
          <w:i/>
          <w:iCs/>
        </w:rPr>
        <w:t xml:space="preserve">Research Plan</w:t>
      </w:r>
      <w:r>
        <w:t xml:space="preserve">, Section 12) and “state the contribution narrowly and truthfully” (Section 13). Your cost study already documents a window-dependent trade-off (“FDM vs FNO is a window-dependent trade-off, not a clean win”), so a nuanced claim is the evidence-backed one.</w:t>
      </w:r>
    </w:p>
    <w:p>
      <w:r>
        <w:br w:type="page"/>
      </w:r>
    </w:p>
    <w:p>
      <w:pPr>
        <w:pStyle w:val="Heading1"/>
      </w:pPr>
      <w:r>
        <w:t xml:space="preserve">Stage 5 — Component 18: the deployment runtime and live demo</w:t>
      </w:r>
    </w:p>
    <w:p>
      <w:pPr>
        <w:spacing w:after="140" w:line="276"/>
      </w:pPr>
      <w:r>
        <w:t xml:space="preserve">This turns your controller into the thing the panel asked for: a runnable tool with one knob that shows the hybrid working in real time.</w:t>
      </w:r>
    </w:p>
    <w:p>
      <w:pPr>
        <w:pStyle w:val="Heading3"/>
      </w:pPr>
      <w:r>
        <w:t xml:space="preserve">Step 5.1  Wrap the hybrid as a runtime function/service</w:t>
      </w:r>
    </w:p>
    <w:p>
      <w:pPr>
        <w:spacing w:after="120" w:line="276"/>
      </w:pPr>
      <w:r>
        <w:rPr>
          <w:b/>
          <w:bCs/>
          <w:color w:val="1F4E79"/>
        </w:rPr>
        <w:t xml:space="preserve">WHAT  </w:t>
      </w:r>
      <w:r>
        <w:t xml:space="preserve">one entry point: </w:t>
      </w:r>
      <w:r>
        <w:rPr>
          <w:rFonts w:ascii="Consolas" w:cs="Consolas" w:eastAsia="Consolas" w:hAnsi="Consolas"/>
          <w:sz w:val="19"/>
          <w:szCs w:val="19"/>
        </w:rPr>
        <w:t xml:space="preserve">run(IC, accuracy_target) → (solution, cost_report)</w:t>
      </w:r>
      <w:r>
        <w:t xml:space="preserve">.</w:t>
      </w:r>
    </w:p>
    <w:p>
      <w:pPr>
        <w:spacing w:after="120" w:line="276"/>
      </w:pPr>
      <w:r>
        <w:rPr>
          <w:b/>
          <w:bCs/>
          <w:color w:val="1F4E79"/>
        </w:rPr>
        <w:t xml:space="preserve">WHY  </w:t>
      </w:r>
      <w:r>
        <w:t xml:space="preserve">a single, clean entry point is what makes the system “deployable” and is the third data contract (you → demo). It hides the controller, coupling and profiler behind one call.</w:t>
      </w:r>
    </w:p>
    <w:p>
      <w:pPr>
        <w:spacing w:after="120" w:line="276"/>
      </w:pPr>
      <w:r>
        <w:rPr>
          <w:b/>
          <w:bCs/>
          <w:color w:val="1F4E79"/>
        </w:rPr>
        <w:t xml:space="preserve">HOW  </w:t>
      </w:r>
      <w:r>
        <w:t xml:space="preserve">Inside </w:t>
      </w:r>
      <w:r>
        <w:rPr>
          <w:rFonts w:ascii="Consolas" w:cs="Consolas" w:eastAsia="Consolas" w:hAnsi="Consolas"/>
          <w:sz w:val="19"/>
          <w:szCs w:val="19"/>
        </w:rPr>
        <w:t xml:space="preserve">runtime.py</w:t>
      </w:r>
      <w:r>
        <w:t xml:space="preserve">: take the IC and target, set the controller from the accuracy-budget map (3.4), run the trust-gated rollout, and return the solution plus a cost report (ML steps, correction steps, wall-time, peak memory, achieved error). Keep it framework-light so it can run as a script or behind an API.</w:t>
      </w:r>
    </w:p>
    <w:p>
      <w:pPr>
        <w:pBdr>
          <w:left w:val="single" w:color="C9A227" w:sz="18" w:space="8"/>
        </w:pBdr>
        <w:shd w:fill="FBF3D9" w:val="clear"/>
        <w:spacing w:after="160" w:before="60" w:line="272"/>
        <w:ind w:left="120" w:right="120"/>
      </w:pPr>
      <w:r>
        <w:rPr>
          <w:b/>
          <w:bCs/>
          <w:color w:val="7A5C00"/>
        </w:rPr>
        <w:t xml:space="preserve">Evidence — </w:t>
      </w:r>
      <w:r>
        <w:t xml:space="preserve">This is the third contract in Section 8 of the plan: “(IC, accuracy target) → solution + cost report”, produced by M3 and consumed by the final demo. The README envisages a “latency-aware middleware” engine; a single </w:t>
      </w:r>
      <w:r>
        <w:rPr>
          <w:rFonts w:ascii="Consolas" w:cs="Consolas" w:eastAsia="Consolas" w:hAnsi="Consolas"/>
          <w:sz w:val="19"/>
          <w:szCs w:val="19"/>
        </w:rPr>
        <w:t xml:space="preserve">run(...)</w:t>
      </w:r>
      <w:r>
        <w:t xml:space="preserve"> function is the minimal honest realisation of it.</w:t>
      </w:r>
    </w:p>
    <w:p>
      <w:pPr>
        <w:pStyle w:val="Heading3"/>
      </w:pPr>
      <w:r>
        <w:t xml:space="preserve">Step 5.2  The one-knob interactive UI</w:t>
      </w:r>
    </w:p>
    <w:p>
      <w:pPr>
        <w:spacing w:after="120" w:line="276"/>
      </w:pPr>
      <w:r>
        <w:rPr>
          <w:b/>
          <w:bCs/>
          <w:color w:val="1F4E79"/>
        </w:rPr>
        <w:t xml:space="preserve">WHAT  </w:t>
      </w:r>
      <w:r>
        <w:t xml:space="preserve">a small interactive app with a single accuracy slider that runs a rollout and shows cost and accuracy live.</w:t>
      </w:r>
    </w:p>
    <w:p>
      <w:pPr>
        <w:spacing w:after="120" w:line="276"/>
      </w:pPr>
      <w:r>
        <w:rPr>
          <w:b/>
          <w:bCs/>
          <w:color w:val="1F4E79"/>
        </w:rPr>
        <w:t xml:space="preserve">WHY  </w:t>
      </w:r>
      <w:r>
        <w:t xml:space="preserve">the panel explicitly asked for a working demonstration; a slider that moves the hybrid along the trade-off in real time is the most direct possible answer.</w:t>
      </w:r>
    </w:p>
    <w:p>
      <w:pPr>
        <w:spacing w:after="120" w:line="276"/>
      </w:pPr>
      <w:r>
        <w:rPr>
          <w:b/>
          <w:bCs/>
          <w:color w:val="1F4E79"/>
        </w:rPr>
        <w:t xml:space="preserve">HOW  </w:t>
      </w:r>
      <w:r>
        <w:t xml:space="preserve">Use Streamlit — it turns a Python script into an interactive web app with sliders and plots, with no front-end code. One slider sets the accuracy target; on each change call </w:t>
      </w:r>
      <w:r>
        <w:rPr>
          <w:rFonts w:ascii="Consolas" w:cs="Consolas" w:eastAsia="Consolas" w:hAnsi="Consolas"/>
          <w:sz w:val="19"/>
          <w:szCs w:val="19"/>
        </w:rPr>
        <w:t xml:space="preserve">run(...)</w:t>
      </w:r>
      <w:r>
        <w:t xml:space="preserve"> and redraw. Keep all state in memory.</w:t>
      </w:r>
    </w:p>
    <w:p>
      <w:pPr>
        <w:pBdr>
          <w:left w:val="single" w:color="C9A227" w:sz="18" w:space="8"/>
        </w:pBdr>
        <w:shd w:fill="FBF3D9" w:val="clear"/>
        <w:spacing w:after="160" w:before="60" w:line="272"/>
        <w:ind w:left="120" w:right="120"/>
      </w:pPr>
      <w:r>
        <w:rPr>
          <w:b/>
          <w:bCs/>
          <w:color w:val="7A5C00"/>
        </w:rPr>
        <w:t xml:space="preserve">Evidence — </w:t>
      </w:r>
      <w:r>
        <w:t xml:space="preserve">Streamlit “turns Python scripts into interactive web apps … without front-end coding” and provides sliders out of the box (</w:t>
      </w:r>
      <w:hyperlink w:history="1" r:id="rId93swbv-vc_bvkfpbqreur">
        <w:r>
          <w:rPr>
            <w:rStyle w:val="Hyperlink"/>
          </w:rPr>
          <w:t xml:space="preserve">streamlit.io</w:t>
        </w:r>
      </w:hyperlink>
      <w:r>
        <w:t xml:space="preserve">). Your project already had a Streamlit app (the cached </w:t>
      </w:r>
      <w:r>
        <w:rPr>
          <w:rFonts w:ascii="Consolas" w:cs="Consolas" w:eastAsia="Consolas" w:hAnsi="Consolas"/>
          <w:sz w:val="19"/>
          <w:szCs w:val="19"/>
        </w:rPr>
        <w:t xml:space="preserve">streamlit_app.cpython-310.pyc</w:t>
      </w:r>
      <w:r>
        <w:t xml:space="preserve"> in the repo), so the tooling choice is already validated within the team.</w:t>
      </w:r>
    </w:p>
    <w:p>
      <w:pPr>
        <w:pStyle w:val="Heading3"/>
      </w:pPr>
      <w:r>
        <w:t xml:space="preserve">Step 5.3  The headline demonstration figure</w:t>
      </w:r>
    </w:p>
    <w:p>
      <w:pPr>
        <w:spacing w:after="120" w:line="276"/>
      </w:pPr>
      <w:r>
        <w:rPr>
          <w:b/>
          <w:bCs/>
          <w:color w:val="1F4E79"/>
        </w:rPr>
        <w:t xml:space="preserve">WHAT  </w:t>
      </w:r>
      <w:r>
        <w:t xml:space="preserve">one screen: a starting shape rolled far into the future, showing three curves — pure-ML (diverges), pure-numerical (accurate, slow), hybrid (stays accurate, cheaper) — with the trust signal plotted underneath, visibly flipping the switch.</w:t>
      </w:r>
    </w:p>
    <w:p>
      <w:pPr>
        <w:spacing w:after="120" w:line="276"/>
      </w:pPr>
      <w:r>
        <w:rPr>
          <w:b/>
          <w:bCs/>
          <w:color w:val="1F4E79"/>
        </w:rPr>
        <w:t xml:space="preserve">WHY  </w:t>
      </w:r>
      <w:r>
        <w:t xml:space="preserve">this single view proves all three members’ contributions at once and is the project’s closing argument.</w:t>
      </w:r>
    </w:p>
    <w:p>
      <w:pPr>
        <w:spacing w:after="120" w:line="276"/>
      </w:pPr>
      <w:r>
        <w:rPr>
          <w:b/>
          <w:bCs/>
          <w:color w:val="1F4E79"/>
        </w:rPr>
        <w:t xml:space="preserve">HOW  </w:t>
      </w:r>
      <w:r>
        <w:t xml:space="preserve">Overlay the three solutions against Cole–Hopf; below them plot M1’s trust signal (the stub until integration) with the switch points marked; let the accuracy slider move the hybrid live. Annotate the cost saved at the chosen accuracy.</w:t>
      </w:r>
    </w:p>
    <w:p>
      <w:pPr>
        <w:pBdr>
          <w:left w:val="single" w:color="C9A227" w:sz="18" w:space="8"/>
        </w:pBdr>
        <w:shd w:fill="FBF3D9" w:val="clear"/>
        <w:spacing w:after="160" w:before="60" w:line="272"/>
        <w:ind w:left="120" w:right="120"/>
      </w:pPr>
      <w:r>
        <w:rPr>
          <w:b/>
          <w:bCs/>
          <w:color w:val="7A5C00"/>
        </w:rPr>
        <w:t xml:space="preserve">Evidence — </w:t>
      </w:r>
      <w:r>
        <w:t xml:space="preserve">This is described almost exactly in the plan: “three solution curves … with M1’s trust signal plotted underneath, visibly flipping the switch in real time … a single accuracy knob (M3) moves the hybrid along the cost/accuracy trade-off live” (</w:t>
      </w:r>
      <w:r>
        <w:rPr>
          <w:i/>
          <w:iCs/>
        </w:rPr>
        <w:t xml:space="preserve">Research Plan</w:t>
      </w:r>
      <w:r>
        <w:t xml:space="preserve">, Section 9).</w:t>
      </w:r>
    </w:p>
    <w:p>
      <w:r>
        <w:br w:type="page"/>
      </w:r>
    </w:p>
    <w:p>
      <w:pPr>
        <w:pStyle w:val="Heading1"/>
      </w:pPr>
      <w:r>
        <w:t xml:space="preserve">Stage 6 — Component 19: robustness of the schedule</w:t>
      </w:r>
    </w:p>
    <w:p>
      <w:pPr>
        <w:pStyle w:val="Heading3"/>
      </w:pPr>
      <w:r>
        <w:t xml:space="preserve">Step 6.1  Test on unseen / out-of-distribution inputs</w:t>
      </w:r>
    </w:p>
    <w:p>
      <w:pPr>
        <w:spacing w:after="120" w:line="276"/>
      </w:pPr>
      <w:r>
        <w:rPr>
          <w:b/>
          <w:bCs/>
          <w:color w:val="1F4E79"/>
        </w:rPr>
        <w:t xml:space="preserve">WHAT  </w:t>
      </w:r>
      <w:r>
        <w:t xml:space="preserve">a repeat of the controller evaluation on initial conditions the system has never seen, reporting the target hit-rate.</w:t>
      </w:r>
    </w:p>
    <w:p>
      <w:pPr>
        <w:spacing w:after="120" w:line="276"/>
      </w:pPr>
      <w:r>
        <w:rPr>
          <w:b/>
          <w:bCs/>
          <w:color w:val="1F4E79"/>
        </w:rPr>
        <w:t xml:space="preserve">WHY  </w:t>
      </w:r>
      <w:r>
        <w:t xml:space="preserve">a controller tuned to your test ICs is worthless if it fails on new ones. “Cost-aware” only matters if accuracy targets are still met on unseen data.</w:t>
      </w:r>
    </w:p>
    <w:p>
      <w:pPr>
        <w:spacing w:after="120" w:line="276"/>
      </w:pPr>
      <w:r>
        <w:rPr>
          <w:b/>
          <w:bCs/>
          <w:color w:val="1F4E79"/>
        </w:rPr>
        <w:t xml:space="preserve">HOW  </w:t>
      </w:r>
      <w:r>
        <w:t xml:space="preserve">Hold out a separate set of ICs (and, ideally, ICs from a different distribution than training). For a range of accuracy targets, measure the fraction of runs whose achieved error is within the target. Report this hit-rate alongside the cost.</w:t>
      </w:r>
    </w:p>
    <w:p>
      <w:pPr>
        <w:pBdr>
          <w:left w:val="single" w:color="C9A227" w:sz="18" w:space="8"/>
        </w:pBdr>
        <w:shd w:fill="FBF3D9" w:val="clear"/>
        <w:spacing w:after="160" w:before="60" w:line="272"/>
        <w:ind w:left="120" w:right="120"/>
      </w:pPr>
      <w:r>
        <w:rPr>
          <w:b/>
          <w:bCs/>
          <w:color w:val="7A5C00"/>
        </w:rPr>
        <w:t xml:space="preserve">Evidence — </w:t>
      </w:r>
      <w:r>
        <w:t xml:space="preserve">Generalisation to unseen ICs is a whole-project evaluation question: “repeat all of the above on unseen / out-of-distribution initial conditions” (</w:t>
      </w:r>
      <w:r>
        <w:rPr>
          <w:i/>
          <w:iCs/>
        </w:rPr>
        <w:t xml:space="preserve">Research Plan</w:t>
      </w:r>
      <w:r>
        <w:t xml:space="preserve">, Section 10), and “success rate at hitting the accuracy target” is M3’s specific metric (Section 7).</w:t>
      </w:r>
    </w:p>
    <w:p>
      <w:pPr>
        <w:pStyle w:val="Heading3"/>
      </w:pPr>
      <w:r>
        <w:t xml:space="preserve">Step 6.2  Ablate adaptive vs fixed</w:t>
      </w:r>
    </w:p>
    <w:p>
      <w:pPr>
        <w:spacing w:after="120" w:line="276"/>
      </w:pPr>
      <w:r>
        <w:rPr>
          <w:b/>
          <w:bCs/>
          <w:color w:val="1F4E79"/>
        </w:rPr>
        <w:t xml:space="preserve">WHAT  </w:t>
      </w:r>
      <w:r>
        <w:t xml:space="preserve">a side-by-side comparison of the adaptive controller against the fixed-interval baseline at matched accuracy.</w:t>
      </w:r>
    </w:p>
    <w:p>
      <w:pPr>
        <w:spacing w:after="120" w:line="276"/>
      </w:pPr>
      <w:r>
        <w:rPr>
          <w:b/>
          <w:bCs/>
          <w:color w:val="1F4E79"/>
        </w:rPr>
        <w:t xml:space="preserve">WHY  </w:t>
      </w:r>
      <w:r>
        <w:t xml:space="preserve">this is the experiment that proves “adaptive” earns its complexity. If the adaptive controller does not beat the fixed one, you report that honestly and the fixed version is your deliverable.</w:t>
      </w:r>
    </w:p>
    <w:p>
      <w:pPr>
        <w:spacing w:after="120" w:line="276"/>
      </w:pPr>
      <w:r>
        <w:rPr>
          <w:b/>
          <w:bCs/>
          <w:color w:val="1F4E79"/>
        </w:rPr>
        <w:t xml:space="preserve">HOW  </w:t>
      </w:r>
      <w:r>
        <w:t xml:space="preserve">At several matched accuracy targets, compare total cost of adaptive vs fixed. The adaptive controller should reach the same accuracy at lower cost (it corrects only when trust is low). Tabulate the cost saving.</w:t>
      </w:r>
    </w:p>
    <w:p>
      <w:pPr>
        <w:pBdr>
          <w:left w:val="single" w:color="C9A227" w:sz="18" w:space="8"/>
        </w:pBdr>
        <w:shd w:fill="FBF3D9" w:val="clear"/>
        <w:spacing w:after="160" w:before="60" w:line="272"/>
        <w:ind w:left="120" w:right="120"/>
      </w:pPr>
      <w:r>
        <w:rPr>
          <w:b/>
          <w:bCs/>
          <w:color w:val="7A5C00"/>
        </w:rPr>
        <w:t xml:space="preserve">Evidence — </w:t>
      </w:r>
      <w:r>
        <w:t xml:space="preserve">“Controller ablations (adaptive vs fixed)” is the named evaluation for your module (</w:t>
      </w:r>
      <w:r>
        <w:rPr>
          <w:i/>
          <w:iCs/>
        </w:rPr>
        <w:t xml:space="preserve">Research Plan</w:t>
      </w:r>
      <w:r>
        <w:t xml:space="preserve">, Section 7). The mechanism by which adaptive wins — spending effort “only when trust is low” — is the project’s stated cost argument (Section 12).</w:t>
      </w:r>
    </w:p>
    <w:p>
      <w:r>
        <w:br w:type="page"/>
      </w:r>
    </w:p>
    <w:p>
      <w:pPr>
        <w:pStyle w:val="Heading1"/>
      </w:pPr>
      <w:r>
        <w:t xml:space="preserve">Stage 7 — Integration: swap the stubs for the real M1 and M2</w:t>
      </w:r>
    </w:p>
    <w:p>
      <w:pPr>
        <w:spacing w:after="140" w:line="276"/>
      </w:pPr>
      <w:r>
        <w:t xml:space="preserve">Because every interaction is through a fixed contract, integration is mostly deletion: remove a stub, point at the real module, re-run. Do it in a fixed order so a problem is easy to localise.</w:t>
      </w:r>
    </w:p>
    <w:p>
      <w:pPr>
        <w:pStyle w:val="ListParagraph"/>
        <w:numPr>
          <w:ilvl w:val="0"/>
          <w:numId w:val="3"/>
        </w:numPr>
        <w:spacing w:after="70" w:line="270"/>
      </w:pPr>
      <w:r>
        <w:rPr>
          <w:b/>
          <w:bCs/>
        </w:rPr>
        <w:t xml:space="preserve">First, M1 → your trigger.</w:t>
      </w:r>
      <w:r>
        <w:t xml:space="preserve"> Replace the trust-signal knob with M1’s real </w:t>
      </w:r>
      <w:r>
        <w:rPr>
          <w:rFonts w:ascii="Consolas" w:cs="Consolas" w:eastAsia="Consolas" w:hAnsi="Consolas"/>
          <w:sz w:val="19"/>
          <w:szCs w:val="19"/>
        </w:rPr>
        <w:t xml:space="preserve">trust(state, t)</w:t>
      </w:r>
      <w:r>
        <w:t xml:space="preserve"> output. Your controller code does not change — it already consumes a trust value in [0,1]. Re-run the controller evaluation; confirm the thresholds still behave.</w:t>
      </w:r>
    </w:p>
    <w:p>
      <w:pPr>
        <w:pStyle w:val="ListParagraph"/>
        <w:numPr>
          <w:ilvl w:val="0"/>
          <w:numId w:val="3"/>
        </w:numPr>
        <w:spacing w:after="70" w:line="270"/>
      </w:pPr>
      <w:r>
        <w:rPr>
          <w:b/>
          <w:bCs/>
        </w:rPr>
        <w:t xml:space="preserve">Then, M2 → your coupling.</w:t>
      </w:r>
      <w:r>
        <w:t xml:space="preserve"> Replace the crude coupling stub with M2’s real re-anchoring hand-over. The trust-gated decisions are unchanged; only the quality of each correction improves (smoother, cheaper). Re-run the cost–accuracy sweep.</w:t>
      </w:r>
    </w:p>
    <w:p>
      <w:pPr>
        <w:pStyle w:val="ListParagraph"/>
        <w:numPr>
          <w:ilvl w:val="0"/>
          <w:numId w:val="3"/>
        </w:numPr>
        <w:spacing w:after="70" w:line="270"/>
      </w:pPr>
      <w:r>
        <w:rPr>
          <w:b/>
          <w:bCs/>
        </w:rPr>
        <w:t xml:space="preserve">Finally, end-to-end.</w:t>
      </w:r>
      <w:r>
        <w:t xml:space="preserve"> Run the full demo on all three ML models and on OOD ICs. Rebuild the Pareto frontier with the real modules and confirm the dominance claim still holds.</w:t>
      </w:r>
    </w:p>
    <w:p>
      <w:pPr>
        <w:pBdr>
          <w:left w:val="single" w:color="C9A227" w:sz="18" w:space="8"/>
        </w:pBdr>
        <w:shd w:fill="FBF3D9" w:val="clear"/>
        <w:spacing w:after="160" w:before="60" w:line="272"/>
        <w:ind w:left="120" w:right="120"/>
      </w:pPr>
      <w:r>
        <w:rPr>
          <w:b/>
          <w:bCs/>
          <w:color w:val="7A5C00"/>
        </w:rPr>
        <w:t xml:space="preserve">Evidence — </w:t>
      </w:r>
      <w:r>
        <w:t xml:space="preserve">This order is prescribed: “first M1’s trust into M2 (trust-gated coupling), then that into M3 (cost-controlled runtime)” (</w:t>
      </w:r>
      <w:r>
        <w:rPr>
          <w:i/>
          <w:iCs/>
        </w:rPr>
        <w:t xml:space="preserve">Research Plan</w:t>
      </w:r>
      <w:r>
        <w:t xml:space="preserve">, Section 8). Because “no module’s internal design depends on another’s internals,” the swap is a contract substitution, not a rewrite.</w:t>
      </w:r>
    </w:p>
    <w:p>
      <w:pPr>
        <w:pStyle w:val="Heading1"/>
      </w:pPr>
      <w:r>
        <w:t xml:space="preserve">Stage 8 — Evaluation and verification (prove it works)</w:t>
      </w:r>
    </w:p>
    <w:p>
      <w:pPr>
        <w:spacing w:after="140" w:line="276"/>
      </w:pPr>
      <w:r>
        <w:t xml:space="preserve">Your module is “fully functional” when these questions are answered with measured numbers, on the same data and grid as the rest of the project.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000"/>
      </w:tblGrid>
      <w:tr>
        <w:trPr>
          <w:tblHeader/>
        </w:trPr>
        <w:tc>
          <w:tcPr>
            <w:tcW w:type="dxa" w:w="30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pPr>
              <w:spacing w:after="0" w:line="264"/>
            </w:pPr>
            <w:r>
              <w:rPr>
                <w:b/>
                <w:bCs/>
                <w:color w:val="FFFFFF"/>
                <w:sz w:val="19"/>
                <w:szCs w:val="19"/>
              </w:rPr>
              <w:t xml:space="preserve">Question</w:t>
            </w:r>
          </w:p>
        </w:tc>
        <w:tc>
          <w:tcPr>
            <w:tcW w:type="dxa" w:w="40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pPr>
              <w:spacing w:after="0" w:line="264"/>
            </w:pPr>
            <w:r>
              <w:rPr>
                <w:b/>
                <w:bCs/>
                <w:color w:val="FFFFFF"/>
                <w:sz w:val="19"/>
                <w:szCs w:val="19"/>
              </w:rPr>
              <w:t xml:space="preserve">How you answer it</w:t>
            </w:r>
          </w:p>
        </w:tc>
        <w:tc>
          <w:tcPr>
            <w:tcW w:type="dxa" w:w="20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pPr>
              <w:spacing w:after="0" w:line="264"/>
            </w:pPr>
            <w:r>
              <w:rPr>
                <w:b/>
                <w:bCs/>
                <w:color w:val="FFFFFF"/>
                <w:sz w:val="19"/>
                <w:szCs w:val="19"/>
              </w:rPr>
              <w:t xml:space="preserve">Artefact</w:t>
            </w:r>
          </w:p>
        </w:tc>
      </w:tr>
      <w:tr>
        <w:trPr>
          <w:tblHeader w:val="false"/>
        </w:trPr>
        <w:tc>
          <w:tcPr>
            <w:tcW w:type="dxa" w:w="30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64"/>
            </w:pPr>
            <w:r>
              <w:rPr>
                <w:b w:val="false"/>
                <w:bCs w:val="false"/>
                <w:sz w:val="19"/>
                <w:szCs w:val="19"/>
              </w:rPr>
              <w:t xml:space="preserve">Is the cost model accurate?</w:t>
            </w:r>
          </w:p>
        </w:tc>
        <w:tc>
          <w:tcPr>
            <w:tcW w:type="dxa" w:w="40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64"/>
            </w:pPr>
            <w:r>
              <w:rPr>
                <w:b w:val="false"/>
                <w:bCs w:val="false"/>
                <w:sz w:val="19"/>
                <w:szCs w:val="19"/>
              </w:rPr>
              <w:t xml:space="preserve">Predicted vs measured wall-time for sample hybrid runs</w:t>
            </w:r>
          </w:p>
        </w:tc>
        <w:tc>
          <w:tcPr>
            <w:tcW w:type="dxa" w:w="20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64"/>
            </w:pPr>
            <w:r>
              <w:rPr>
                <w:b w:val="false"/>
                <w:bCs w:val="false"/>
                <w:sz w:val="19"/>
                <w:szCs w:val="19"/>
              </w:rPr>
              <w:t xml:space="preserve">accuracy_cost validation</w:t>
            </w:r>
          </w:p>
        </w:tc>
      </w:tr>
      <w:tr>
        <w:trPr>
          <w:tblHeader w:val="false"/>
        </w:trPr>
        <w:tc>
          <w:tcPr>
            <w:tcW w:type="dxa" w:w="3000"/>
            <w:tcBorders>
              <w:top w:val="single" w:color="BFBFBF" w:sz="1"/>
              <w:left w:val="single" w:color="BFBFBF" w:sz="1"/>
              <w:bottom w:val="single" w:color="BFBFBF" w:sz="1"/>
              <w:right w:val="single" w:color="BFBFBF" w:sz="1"/>
            </w:tcBorders>
            <w:shd w:fill="EAF1F8" w:val="clear"/>
            <w:tcMar>
              <w:top w:type="dxa" w:w="70"/>
              <w:left w:type="dxa" w:w="110"/>
              <w:bottom w:type="dxa" w:w="70"/>
              <w:right w:type="dxa" w:w="110"/>
            </w:tcMar>
          </w:tcPr>
          <w:p>
            <w:pPr>
              <w:spacing w:after="0" w:line="264"/>
            </w:pPr>
            <w:r>
              <w:rPr>
                <w:b w:val="false"/>
                <w:bCs w:val="false"/>
                <w:sz w:val="19"/>
                <w:szCs w:val="19"/>
              </w:rPr>
              <w:t xml:space="preserve">Does the controller hit its target?</w:t>
            </w:r>
          </w:p>
        </w:tc>
        <w:tc>
          <w:tcPr>
            <w:tcW w:type="dxa" w:w="4000"/>
            <w:tcBorders>
              <w:top w:val="single" w:color="BFBFBF" w:sz="1"/>
              <w:left w:val="single" w:color="BFBFBF" w:sz="1"/>
              <w:bottom w:val="single" w:color="BFBFBF" w:sz="1"/>
              <w:right w:val="single" w:color="BFBFBF" w:sz="1"/>
            </w:tcBorders>
            <w:shd w:fill="EAF1F8" w:val="clear"/>
            <w:tcMar>
              <w:top w:type="dxa" w:w="70"/>
              <w:left w:type="dxa" w:w="110"/>
              <w:bottom w:type="dxa" w:w="70"/>
              <w:right w:type="dxa" w:w="110"/>
            </w:tcMar>
          </w:tcPr>
          <w:p>
            <w:pPr>
              <w:spacing w:after="0" w:line="264"/>
            </w:pPr>
            <w:r>
              <w:rPr>
                <w:b w:val="false"/>
                <w:bCs w:val="false"/>
                <w:sz w:val="19"/>
                <w:szCs w:val="19"/>
              </w:rPr>
              <w:t xml:space="preserve">Target hit-rate across accuracy budgets, on held-out ICs</w:t>
            </w:r>
          </w:p>
        </w:tc>
        <w:tc>
          <w:tcPr>
            <w:tcW w:type="dxa" w:w="2000"/>
            <w:tcBorders>
              <w:top w:val="single" w:color="BFBFBF" w:sz="1"/>
              <w:left w:val="single" w:color="BFBFBF" w:sz="1"/>
              <w:bottom w:val="single" w:color="BFBFBF" w:sz="1"/>
              <w:right w:val="single" w:color="BFBFBF" w:sz="1"/>
            </w:tcBorders>
            <w:shd w:fill="EAF1F8" w:val="clear"/>
            <w:tcMar>
              <w:top w:type="dxa" w:w="70"/>
              <w:left w:type="dxa" w:w="110"/>
              <w:bottom w:type="dxa" w:w="70"/>
              <w:right w:type="dxa" w:w="110"/>
            </w:tcMar>
          </w:tcPr>
          <w:p>
            <w:pPr>
              <w:spacing w:after="0" w:line="264"/>
            </w:pPr>
            <w:r>
              <w:rPr>
                <w:b w:val="false"/>
                <w:bCs w:val="false"/>
                <w:sz w:val="19"/>
                <w:szCs w:val="19"/>
              </w:rPr>
              <w:t xml:space="preserve">robustness table</w:t>
            </w:r>
          </w:p>
        </w:tc>
      </w:tr>
      <w:tr>
        <w:trPr>
          <w:tblHeader w:val="false"/>
        </w:trPr>
        <w:tc>
          <w:tcPr>
            <w:tcW w:type="dxa" w:w="30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64"/>
            </w:pPr>
            <w:r>
              <w:rPr>
                <w:b w:val="false"/>
                <w:bCs w:val="false"/>
                <w:sz w:val="19"/>
                <w:szCs w:val="19"/>
              </w:rPr>
              <w:t xml:space="preserve">Is adaptive better than fixed?</w:t>
            </w:r>
          </w:p>
        </w:tc>
        <w:tc>
          <w:tcPr>
            <w:tcW w:type="dxa" w:w="40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64"/>
            </w:pPr>
            <w:r>
              <w:rPr>
                <w:b w:val="false"/>
                <w:bCs w:val="false"/>
                <w:sz w:val="19"/>
                <w:szCs w:val="19"/>
              </w:rPr>
              <w:t xml:space="preserve">Matched-accuracy cost comparison</w:t>
            </w:r>
          </w:p>
        </w:tc>
        <w:tc>
          <w:tcPr>
            <w:tcW w:type="dxa" w:w="20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64"/>
            </w:pPr>
            <w:r>
              <w:rPr>
                <w:b w:val="false"/>
                <w:bCs w:val="false"/>
                <w:sz w:val="19"/>
                <w:szCs w:val="19"/>
              </w:rPr>
              <w:t xml:space="preserve">ablation table</w:t>
            </w:r>
          </w:p>
        </w:tc>
      </w:tr>
      <w:tr>
        <w:trPr>
          <w:tblHeader w:val="false"/>
        </w:trPr>
        <w:tc>
          <w:tcPr>
            <w:tcW w:type="dxa" w:w="3000"/>
            <w:tcBorders>
              <w:top w:val="single" w:color="BFBFBF" w:sz="1"/>
              <w:left w:val="single" w:color="BFBFBF" w:sz="1"/>
              <w:bottom w:val="single" w:color="BFBFBF" w:sz="1"/>
              <w:right w:val="single" w:color="BFBFBF" w:sz="1"/>
            </w:tcBorders>
            <w:shd w:fill="EAF1F8" w:val="clear"/>
            <w:tcMar>
              <w:top w:type="dxa" w:w="70"/>
              <w:left w:type="dxa" w:w="110"/>
              <w:bottom w:type="dxa" w:w="70"/>
              <w:right w:type="dxa" w:w="110"/>
            </w:tcMar>
          </w:tcPr>
          <w:p>
            <w:pPr>
              <w:spacing w:after="0" w:line="264"/>
            </w:pPr>
            <w:r>
              <w:rPr>
                <w:b w:val="false"/>
                <w:bCs w:val="false"/>
                <w:sz w:val="19"/>
                <w:szCs w:val="19"/>
              </w:rPr>
              <w:t xml:space="preserve">Does the hybrid dominate?</w:t>
            </w:r>
          </w:p>
        </w:tc>
        <w:tc>
          <w:tcPr>
            <w:tcW w:type="dxa" w:w="4000"/>
            <w:tcBorders>
              <w:top w:val="single" w:color="BFBFBF" w:sz="1"/>
              <w:left w:val="single" w:color="BFBFBF" w:sz="1"/>
              <w:bottom w:val="single" w:color="BFBFBF" w:sz="1"/>
              <w:right w:val="single" w:color="BFBFBF" w:sz="1"/>
            </w:tcBorders>
            <w:shd w:fill="EAF1F8" w:val="clear"/>
            <w:tcMar>
              <w:top w:type="dxa" w:w="70"/>
              <w:left w:type="dxa" w:w="110"/>
              <w:bottom w:type="dxa" w:w="70"/>
              <w:right w:type="dxa" w:w="110"/>
            </w:tcMar>
          </w:tcPr>
          <w:p>
            <w:pPr>
              <w:spacing w:after="0" w:line="264"/>
            </w:pPr>
            <w:r>
              <w:rPr>
                <w:b w:val="false"/>
                <w:bCs w:val="false"/>
                <w:sz w:val="19"/>
                <w:szCs w:val="19"/>
              </w:rPr>
              <w:t xml:space="preserve">Cost–accuracy Pareto frontier vs both baselines</w:t>
            </w:r>
          </w:p>
        </w:tc>
        <w:tc>
          <w:tcPr>
            <w:tcW w:type="dxa" w:w="2000"/>
            <w:tcBorders>
              <w:top w:val="single" w:color="BFBFBF" w:sz="1"/>
              <w:left w:val="single" w:color="BFBFBF" w:sz="1"/>
              <w:bottom w:val="single" w:color="BFBFBF" w:sz="1"/>
              <w:right w:val="single" w:color="BFBFBF" w:sz="1"/>
            </w:tcBorders>
            <w:shd w:fill="EAF1F8" w:val="clear"/>
            <w:tcMar>
              <w:top w:type="dxa" w:w="70"/>
              <w:left w:type="dxa" w:w="110"/>
              <w:bottom w:type="dxa" w:w="70"/>
              <w:right w:type="dxa" w:w="110"/>
            </w:tcMar>
          </w:tcPr>
          <w:p>
            <w:pPr>
              <w:spacing w:after="0" w:line="264"/>
            </w:pPr>
            <w:r>
              <w:rPr>
                <w:b w:val="false"/>
                <w:bCs w:val="false"/>
                <w:sz w:val="19"/>
                <w:szCs w:val="19"/>
              </w:rPr>
              <w:t xml:space="preserve">Pareto figure</w:t>
            </w:r>
          </w:p>
        </w:tc>
      </w:tr>
      <w:tr>
        <w:trPr>
          <w:tblHeader w:val="false"/>
        </w:trPr>
        <w:tc>
          <w:tcPr>
            <w:tcW w:type="dxa" w:w="30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64"/>
            </w:pPr>
            <w:r>
              <w:rPr>
                <w:b w:val="false"/>
                <w:bCs w:val="false"/>
                <w:sz w:val="19"/>
                <w:szCs w:val="19"/>
              </w:rPr>
              <w:t xml:space="preserve">Does it run live?</w:t>
            </w:r>
          </w:p>
        </w:tc>
        <w:tc>
          <w:tcPr>
            <w:tcW w:type="dxa" w:w="40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64"/>
            </w:pPr>
            <w:r>
              <w:rPr>
                <w:b w:val="false"/>
                <w:bCs w:val="false"/>
                <w:sz w:val="19"/>
                <w:szCs w:val="19"/>
              </w:rPr>
              <w:t xml:space="preserve">One-knob demo on all 3 ML models</w:t>
            </w:r>
          </w:p>
        </w:tc>
        <w:tc>
          <w:tcPr>
            <w:tcW w:type="dxa" w:w="20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64"/>
            </w:pPr>
            <w:r>
              <w:rPr>
                <w:b w:val="false"/>
                <w:bCs w:val="false"/>
                <w:sz w:val="19"/>
                <w:szCs w:val="19"/>
              </w:rPr>
              <w:t xml:space="preserve">Streamlit app</w:t>
            </w:r>
          </w:p>
        </w:tc>
      </w:tr>
      <w:tr>
        <w:trPr>
          <w:tblHeader w:val="false"/>
        </w:trPr>
        <w:tc>
          <w:tcPr>
            <w:tcW w:type="dxa" w:w="3000"/>
            <w:tcBorders>
              <w:top w:val="single" w:color="BFBFBF" w:sz="1"/>
              <w:left w:val="single" w:color="BFBFBF" w:sz="1"/>
              <w:bottom w:val="single" w:color="BFBFBF" w:sz="1"/>
              <w:right w:val="single" w:color="BFBFBF" w:sz="1"/>
            </w:tcBorders>
            <w:shd w:fill="EAF1F8" w:val="clear"/>
            <w:tcMar>
              <w:top w:type="dxa" w:w="70"/>
              <w:left w:type="dxa" w:w="110"/>
              <w:bottom w:type="dxa" w:w="70"/>
              <w:right w:type="dxa" w:w="110"/>
            </w:tcMar>
          </w:tcPr>
          <w:p>
            <w:pPr>
              <w:spacing w:after="0" w:line="264"/>
            </w:pPr>
            <w:r>
              <w:rPr>
                <w:b w:val="false"/>
                <w:bCs w:val="false"/>
                <w:sz w:val="19"/>
                <w:szCs w:val="19"/>
              </w:rPr>
              <w:t xml:space="preserve">Does it generalise?</w:t>
            </w:r>
          </w:p>
        </w:tc>
        <w:tc>
          <w:tcPr>
            <w:tcW w:type="dxa" w:w="4000"/>
            <w:tcBorders>
              <w:top w:val="single" w:color="BFBFBF" w:sz="1"/>
              <w:left w:val="single" w:color="BFBFBF" w:sz="1"/>
              <w:bottom w:val="single" w:color="BFBFBF" w:sz="1"/>
              <w:right w:val="single" w:color="BFBFBF" w:sz="1"/>
            </w:tcBorders>
            <w:shd w:fill="EAF1F8" w:val="clear"/>
            <w:tcMar>
              <w:top w:type="dxa" w:w="70"/>
              <w:left w:type="dxa" w:w="110"/>
              <w:bottom w:type="dxa" w:w="70"/>
              <w:right w:type="dxa" w:w="110"/>
            </w:tcMar>
          </w:tcPr>
          <w:p>
            <w:pPr>
              <w:spacing w:after="0" w:line="264"/>
            </w:pPr>
            <w:r>
              <w:rPr>
                <w:b w:val="false"/>
                <w:bCs w:val="false"/>
                <w:sz w:val="19"/>
                <w:szCs w:val="19"/>
              </w:rPr>
              <w:t xml:space="preserve">Repeat all of the above on OOD ICs</w:t>
            </w:r>
          </w:p>
        </w:tc>
        <w:tc>
          <w:tcPr>
            <w:tcW w:type="dxa" w:w="2000"/>
            <w:tcBorders>
              <w:top w:val="single" w:color="BFBFBF" w:sz="1"/>
              <w:left w:val="single" w:color="BFBFBF" w:sz="1"/>
              <w:bottom w:val="single" w:color="BFBFBF" w:sz="1"/>
              <w:right w:val="single" w:color="BFBFBF" w:sz="1"/>
            </w:tcBorders>
            <w:shd w:fill="EAF1F8" w:val="clear"/>
            <w:tcMar>
              <w:top w:type="dxa" w:w="70"/>
              <w:left w:type="dxa" w:w="110"/>
              <w:bottom w:type="dxa" w:w="70"/>
              <w:right w:type="dxa" w:w="110"/>
            </w:tcMar>
          </w:tcPr>
          <w:p>
            <w:pPr>
              <w:spacing w:after="0" w:line="264"/>
            </w:pPr>
            <w:r>
              <w:rPr>
                <w:b w:val="false"/>
                <w:bCs w:val="false"/>
                <w:sz w:val="19"/>
                <w:szCs w:val="19"/>
              </w:rPr>
              <w:t xml:space="preserve">OOD results</w:t>
            </w:r>
          </w:p>
        </w:tc>
      </w:tr>
    </w:tbl>
    <w:p>
      <w:pPr>
        <w:spacing w:after="140" w:line="276"/>
      </w:pPr>
      <w:r>
        <w:rPr>
          <w:b/>
          <w:bCs/>
        </w:rPr>
        <w:t xml:space="preserve">Verification discipline. </w:t>
      </w:r>
      <w:r>
        <w:t xml:space="preserve">Re-use the project’s shared metrics module for every error number so your results are comparable with M1 and M2. Keep a raw results file (the equivalent of </w:t>
      </w:r>
      <w:r>
        <w:rPr>
          <w:rFonts w:ascii="Consolas" w:cs="Consolas" w:eastAsia="Consolas" w:hAnsi="Consolas"/>
          <w:sz w:val="19"/>
          <w:szCs w:val="19"/>
        </w:rPr>
        <w:t xml:space="preserve">cost_summary.json</w:t>
      </w:r>
      <w:r>
        <w:t xml:space="preserve">) with an </w:t>
      </w:r>
      <w:r>
        <w:rPr>
          <w:rFonts w:ascii="Consolas" w:cs="Consolas" w:eastAsia="Consolas" w:hAnsi="Consolas"/>
          <w:sz w:val="19"/>
          <w:szCs w:val="19"/>
        </w:rPr>
        <w:t xml:space="preserve">_env</w:t>
      </w:r>
      <w:r>
        <w:t xml:space="preserve"> provenance block, and a short write-up stating the honest limitations before an evaluator can. Quote the median for any timing you are challenged on.</w:t>
      </w:r>
    </w:p>
    <w:p>
      <w:pPr>
        <w:pBdr>
          <w:left w:val="single" w:color="C9A227" w:sz="18" w:space="8"/>
        </w:pBdr>
        <w:shd w:fill="FBF3D9" w:val="clear"/>
        <w:spacing w:after="160" w:before="60" w:line="272"/>
        <w:ind w:left="120" w:right="120"/>
      </w:pPr>
      <w:r>
        <w:rPr>
          <w:b/>
          <w:bCs/>
          <w:color w:val="7A5C00"/>
        </w:rPr>
        <w:t xml:space="preserve">Evidence — </w:t>
      </w:r>
      <w:r>
        <w:t xml:space="preserve">Section 10 of the plan lists these exact evaluation questions for the whole project, and your existing </w:t>
      </w:r>
      <w:r>
        <w:rPr>
          <w:rFonts w:ascii="Consolas" w:cs="Consolas" w:eastAsia="Consolas" w:hAnsi="Consolas"/>
          <w:sz w:val="19"/>
          <w:szCs w:val="19"/>
        </w:rPr>
        <w:t xml:space="preserve">deployment_cost_writeup.md</w:t>
      </w:r>
      <w:r>
        <w:t xml:space="preserve"> already demonstrates the standard you are matching — measured numbers, recorded hardware, stated threats to validity, and a median-based defence against timing noise.</w:t>
      </w:r>
    </w:p>
    <w:p>
      <w:r>
        <w:br w:type="page"/>
      </w:r>
    </w:p>
    <w:p>
      <w:pPr>
        <w:pStyle w:val="Heading1"/>
      </w:pPr>
      <w:r>
        <w:t xml:space="preserve">Stage mapping to your one-month timeline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rPr>
          <w:tblHeader/>
        </w:trPr>
        <w:tc>
          <w:tcPr>
            <w:tcW w:type="dxa" w:w="15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pPr>
              <w:spacing w:after="0" w:line="264"/>
            </w:pPr>
            <w:r>
              <w:rPr>
                <w:b/>
                <w:bCs/>
                <w:color w:val="FFFFFF"/>
                <w:sz w:val="19"/>
                <w:szCs w:val="19"/>
              </w:rPr>
              <w:t xml:space="preserve">Week</w:t>
            </w:r>
          </w:p>
        </w:tc>
        <w:tc>
          <w:tcPr>
            <w:tcW w:type="dxa" w:w="75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pPr>
              <w:spacing w:after="0" w:line="264"/>
            </w:pPr>
            <w:r>
              <w:rPr>
                <w:b/>
                <w:bCs/>
                <w:color w:val="FFFFFF"/>
                <w:sz w:val="19"/>
                <w:szCs w:val="19"/>
              </w:rPr>
              <w:t xml:space="preserve">Your deliverables (Mendis, M3)</w:t>
            </w:r>
          </w:p>
        </w:tc>
      </w:tr>
      <w:tr>
        <w:trPr>
          <w:tblHeader w:val="false"/>
        </w:trPr>
        <w:tc>
          <w:tcPr>
            <w:tcW w:type="dxa" w:w="15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64"/>
            </w:pPr>
            <w:r>
              <w:rPr>
                <w:b w:val="false"/>
                <w:bCs w:val="false"/>
                <w:sz w:val="19"/>
                <w:szCs w:val="19"/>
              </w:rPr>
              <w:t xml:space="preserve">Week 1</w:t>
            </w:r>
          </w:p>
        </w:tc>
        <w:tc>
          <w:tcPr>
            <w:tcW w:type="dxa" w:w="75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64"/>
            </w:pPr>
            <w:r>
              <w:rPr>
                <w:b w:val="false"/>
                <w:bCs w:val="false"/>
                <w:sz w:val="19"/>
                <w:szCs w:val="19"/>
              </w:rPr>
              <w:t xml:space="preserve">Stages 0–1: environment, stubs, hello-hybrid smoke test, and the cost/latency/memory profiler (much of this already exists and can be hardened).</w:t>
            </w:r>
          </w:p>
        </w:tc>
      </w:tr>
      <w:tr>
        <w:trPr>
          <w:tblHeader w:val="false"/>
        </w:trPr>
        <w:tc>
          <w:tcPr>
            <w:tcW w:type="dxa" w:w="1500"/>
            <w:tcBorders>
              <w:top w:val="single" w:color="BFBFBF" w:sz="1"/>
              <w:left w:val="single" w:color="BFBFBF" w:sz="1"/>
              <w:bottom w:val="single" w:color="BFBFBF" w:sz="1"/>
              <w:right w:val="single" w:color="BFBFBF" w:sz="1"/>
            </w:tcBorders>
            <w:shd w:fill="EAF1F8" w:val="clear"/>
            <w:tcMar>
              <w:top w:type="dxa" w:w="70"/>
              <w:left w:type="dxa" w:w="110"/>
              <w:bottom w:type="dxa" w:w="70"/>
              <w:right w:type="dxa" w:w="110"/>
            </w:tcMar>
          </w:tcPr>
          <w:p>
            <w:pPr>
              <w:spacing w:after="0" w:line="264"/>
            </w:pPr>
            <w:r>
              <w:rPr>
                <w:b w:val="false"/>
                <w:bCs w:val="false"/>
                <w:sz w:val="19"/>
                <w:szCs w:val="19"/>
              </w:rPr>
              <w:t xml:space="preserve">Week 2</w:t>
            </w:r>
          </w:p>
        </w:tc>
        <w:tc>
          <w:tcPr>
            <w:tcW w:type="dxa" w:w="7500"/>
            <w:tcBorders>
              <w:top w:val="single" w:color="BFBFBF" w:sz="1"/>
              <w:left w:val="single" w:color="BFBFBF" w:sz="1"/>
              <w:bottom w:val="single" w:color="BFBFBF" w:sz="1"/>
              <w:right w:val="single" w:color="BFBFBF" w:sz="1"/>
            </w:tcBorders>
            <w:shd w:fill="EAF1F8" w:val="clear"/>
            <w:tcMar>
              <w:top w:type="dxa" w:w="70"/>
              <w:left w:type="dxa" w:w="110"/>
              <w:bottom w:type="dxa" w:w="70"/>
              <w:right w:type="dxa" w:w="110"/>
            </w:tcMar>
          </w:tcPr>
          <w:p>
            <w:pPr>
              <w:spacing w:after="0" w:line="264"/>
            </w:pPr>
            <w:r>
              <w:rPr>
                <w:b w:val="false"/>
                <w:bCs w:val="false"/>
                <w:sz w:val="19"/>
                <w:szCs w:val="19"/>
              </w:rPr>
              <w:t xml:space="preserve">Stages 2–3: accuracy–cost model, fixed baseline, and the rule-based adaptive controller; first Pareto points.</w:t>
            </w:r>
          </w:p>
        </w:tc>
      </w:tr>
      <w:tr>
        <w:trPr>
          <w:tblHeader w:val="false"/>
        </w:trPr>
        <w:tc>
          <w:tcPr>
            <w:tcW w:type="dxa" w:w="15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64"/>
            </w:pPr>
            <w:r>
              <w:rPr>
                <w:b w:val="false"/>
                <w:bCs w:val="false"/>
                <w:sz w:val="19"/>
                <w:szCs w:val="19"/>
              </w:rPr>
              <w:t xml:space="preserve">Week 3</w:t>
            </w:r>
          </w:p>
        </w:tc>
        <w:tc>
          <w:tcPr>
            <w:tcW w:type="dxa" w:w="75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64"/>
            </w:pPr>
            <w:r>
              <w:rPr>
                <w:b w:val="false"/>
                <w:bCs w:val="false"/>
                <w:sz w:val="19"/>
                <w:szCs w:val="19"/>
              </w:rPr>
              <w:t xml:space="preserve">Stages 4–6: full Pareto frontier, deployment runtime + one-knob UI, robustness/ablation evaluation.</w:t>
            </w:r>
          </w:p>
        </w:tc>
      </w:tr>
      <w:tr>
        <w:trPr>
          <w:tblHeader w:val="false"/>
        </w:trPr>
        <w:tc>
          <w:tcPr>
            <w:tcW w:type="dxa" w:w="1500"/>
            <w:tcBorders>
              <w:top w:val="single" w:color="BFBFBF" w:sz="1"/>
              <w:left w:val="single" w:color="BFBFBF" w:sz="1"/>
              <w:bottom w:val="single" w:color="BFBFBF" w:sz="1"/>
              <w:right w:val="single" w:color="BFBFBF" w:sz="1"/>
            </w:tcBorders>
            <w:shd w:fill="EAF1F8" w:val="clear"/>
            <w:tcMar>
              <w:top w:type="dxa" w:w="70"/>
              <w:left w:type="dxa" w:w="110"/>
              <w:bottom w:type="dxa" w:w="70"/>
              <w:right w:type="dxa" w:w="110"/>
            </w:tcMar>
          </w:tcPr>
          <w:p>
            <w:pPr>
              <w:spacing w:after="0" w:line="264"/>
            </w:pPr>
            <w:r>
              <w:rPr>
                <w:b w:val="false"/>
                <w:bCs w:val="false"/>
                <w:sz w:val="19"/>
                <w:szCs w:val="19"/>
              </w:rPr>
              <w:t xml:space="preserve">Week 4</w:t>
            </w:r>
          </w:p>
        </w:tc>
        <w:tc>
          <w:tcPr>
            <w:tcW w:type="dxa" w:w="7500"/>
            <w:tcBorders>
              <w:top w:val="single" w:color="BFBFBF" w:sz="1"/>
              <w:left w:val="single" w:color="BFBFBF" w:sz="1"/>
              <w:bottom w:val="single" w:color="BFBFBF" w:sz="1"/>
              <w:right w:val="single" w:color="BFBFBF" w:sz="1"/>
            </w:tcBorders>
            <w:shd w:fill="EAF1F8" w:val="clear"/>
            <w:tcMar>
              <w:top w:type="dxa" w:w="70"/>
              <w:left w:type="dxa" w:w="110"/>
              <w:bottom w:type="dxa" w:w="70"/>
              <w:right w:type="dxa" w:w="110"/>
            </w:tcMar>
          </w:tcPr>
          <w:p>
            <w:pPr>
              <w:spacing w:after="0" w:line="264"/>
            </w:pPr>
            <w:r>
              <w:rPr>
                <w:b w:val="false"/>
                <w:bCs w:val="false"/>
                <w:sz w:val="19"/>
                <w:szCs w:val="19"/>
              </w:rPr>
              <w:t xml:space="preserve">Stage 7–8: integration (M1 trust → M2 coupling → your runtime), end-to-end experiments on all models + OOD, demo, write-up.</w:t>
            </w:r>
          </w:p>
        </w:tc>
      </w:tr>
    </w:tbl>
    <w:p>
      <w:pPr>
        <w:pBdr>
          <w:left w:val="single" w:color="C9A227" w:sz="18" w:space="8"/>
        </w:pBdr>
        <w:shd w:fill="FBF3D9" w:val="clear"/>
        <w:spacing w:after="160" w:before="60" w:line="272"/>
        <w:ind w:left="120" w:right="120"/>
      </w:pPr>
      <w:r>
        <w:rPr>
          <w:b/>
          <w:bCs/>
          <w:color w:val="7A5C00"/>
        </w:rPr>
        <w:t xml:space="preserve">Evidence — </w:t>
      </w:r>
      <w:r>
        <w:t xml:space="preserve">This matches the project timeline (</w:t>
      </w:r>
      <w:r>
        <w:rPr>
          <w:i/>
          <w:iCs/>
        </w:rPr>
        <w:t xml:space="preserve">Research Plan</w:t>
      </w:r>
      <w:r>
        <w:t xml:space="preserve">, Section 11): Week 1 “Cost profiler; accuracy–cost model”; Week 2 “Adaptive controller; first Pareto”; Week 3 “Deployment runtime/UI; frontier; ablations”; Week 4 shared integration. A one-month build is realistic precisely because Phase 1 (data, solvers, framework) is already done.</w:t>
      </w:r>
    </w:p>
    <w:p>
      <w:pPr>
        <w:pStyle w:val="Heading1"/>
      </w:pPr>
      <w:r>
        <w:t xml:space="preserve">Risks specific to your module, and how to retire them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rPr>
          <w:tblHeader/>
        </w:trPr>
        <w:tc>
          <w:tcPr>
            <w:tcW w:type="dxa" w:w="35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pPr>
              <w:spacing w:after="0" w:line="264"/>
            </w:pPr>
            <w:r>
              <w:rPr>
                <w:b/>
                <w:bCs/>
                <w:color w:val="FFFFFF"/>
                <w:sz w:val="19"/>
                <w:szCs w:val="19"/>
              </w:rPr>
              <w:t xml:space="preserve">Risk</w:t>
            </w:r>
          </w:p>
        </w:tc>
        <w:tc>
          <w:tcPr>
            <w:tcW w:type="dxa" w:w="55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pPr>
              <w:spacing w:after="0" w:line="264"/>
            </w:pPr>
            <w:r>
              <w:rPr>
                <w:b/>
                <w:bCs/>
                <w:color w:val="FFFFFF"/>
                <w:sz w:val="19"/>
                <w:szCs w:val="19"/>
              </w:rPr>
              <w:t xml:space="preserve">Mitigation (with the step that handles it)</w:t>
            </w:r>
          </w:p>
        </w:tc>
      </w:tr>
      <w:tr>
        <w:trPr>
          <w:tblHeader w:val="false"/>
        </w:trPr>
        <w:tc>
          <w:tcPr>
            <w:tcW w:type="dxa" w:w="35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64"/>
            </w:pPr>
            <w:r>
              <w:rPr>
                <w:b w:val="false"/>
                <w:bCs w:val="false"/>
                <w:sz w:val="19"/>
                <w:szCs w:val="19"/>
              </w:rPr>
              <w:t xml:space="preserve">Trust signal too noisy to switch on</w:t>
            </w:r>
          </w:p>
        </w:tc>
        <w:tc>
          <w:tcPr>
            <w:tcW w:type="dxa" w:w="55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64"/>
            </w:pPr>
            <w:r>
              <w:rPr>
                <w:b w:val="false"/>
                <w:bCs w:val="false"/>
                <w:sz w:val="19"/>
                <w:szCs w:val="19"/>
              </w:rPr>
              <w:t xml:space="preserve">Hysteresis deadband (Step 3.3) absorbs noise; fixed-interval fallback (Step 3.2) guarantees the hybrid still works.</w:t>
            </w:r>
          </w:p>
        </w:tc>
      </w:tr>
      <w:tr>
        <w:trPr>
          <w:tblHeader w:val="false"/>
        </w:trPr>
        <w:tc>
          <w:tcPr>
            <w:tcW w:type="dxa" w:w="3500"/>
            <w:tcBorders>
              <w:top w:val="single" w:color="BFBFBF" w:sz="1"/>
              <w:left w:val="single" w:color="BFBFBF" w:sz="1"/>
              <w:bottom w:val="single" w:color="BFBFBF" w:sz="1"/>
              <w:right w:val="single" w:color="BFBFBF" w:sz="1"/>
            </w:tcBorders>
            <w:shd w:fill="EAF1F8" w:val="clear"/>
            <w:tcMar>
              <w:top w:type="dxa" w:w="70"/>
              <w:left w:type="dxa" w:w="110"/>
              <w:bottom w:type="dxa" w:w="70"/>
              <w:right w:type="dxa" w:w="110"/>
            </w:tcMar>
          </w:tcPr>
          <w:p>
            <w:pPr>
              <w:spacing w:after="0" w:line="264"/>
            </w:pPr>
            <w:r>
              <w:rPr>
                <w:b w:val="false"/>
                <w:bCs w:val="false"/>
                <w:sz w:val="19"/>
                <w:szCs w:val="19"/>
              </w:rPr>
              <w:t xml:space="preserve">Hybrid not actually cheaper than numerical</w:t>
            </w:r>
          </w:p>
        </w:tc>
        <w:tc>
          <w:tcPr>
            <w:tcW w:type="dxa" w:w="5500"/>
            <w:tcBorders>
              <w:top w:val="single" w:color="BFBFBF" w:sz="1"/>
              <w:left w:val="single" w:color="BFBFBF" w:sz="1"/>
              <w:bottom w:val="single" w:color="BFBFBF" w:sz="1"/>
              <w:right w:val="single" w:color="BFBFBF" w:sz="1"/>
            </w:tcBorders>
            <w:shd w:fill="EAF1F8" w:val="clear"/>
            <w:tcMar>
              <w:top w:type="dxa" w:w="70"/>
              <w:left w:type="dxa" w:w="110"/>
              <w:bottom w:type="dxa" w:w="70"/>
              <w:right w:type="dxa" w:w="110"/>
            </w:tcMar>
          </w:tcPr>
          <w:p>
            <w:pPr>
              <w:spacing w:after="0" w:line="264"/>
            </w:pPr>
            <w:r>
              <w:rPr>
                <w:b w:val="false"/>
                <w:bCs w:val="false"/>
                <w:sz w:val="19"/>
                <w:szCs w:val="19"/>
              </w:rPr>
              <w:t xml:space="preserve">Controller corrects only when trust is low (Step 3.3); report the frontier honestly and state the regime where a baseline wins (Step 4.3).</w:t>
            </w:r>
          </w:p>
        </w:tc>
      </w:tr>
      <w:tr>
        <w:trPr>
          <w:tblHeader w:val="false"/>
        </w:trPr>
        <w:tc>
          <w:tcPr>
            <w:tcW w:type="dxa" w:w="35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64"/>
            </w:pPr>
            <w:r>
              <w:rPr>
                <w:b w:val="false"/>
                <w:bCs w:val="false"/>
                <w:sz w:val="19"/>
                <w:szCs w:val="19"/>
              </w:rPr>
              <w:t xml:space="preserve">Knob doesn’t reliably hit its target</w:t>
            </w:r>
          </w:p>
        </w:tc>
        <w:tc>
          <w:tcPr>
            <w:tcW w:type="dxa" w:w="55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64"/>
            </w:pPr>
            <w:r>
              <w:rPr>
                <w:b w:val="false"/>
                <w:bCs w:val="false"/>
                <w:sz w:val="19"/>
                <w:szCs w:val="19"/>
              </w:rPr>
              <w:t xml:space="preserve">Calibrate the accuracy-budget map on training ICs and validate hit-rate on held-out ICs (Steps 3.4, 6.1).</w:t>
            </w:r>
          </w:p>
        </w:tc>
      </w:tr>
      <w:tr>
        <w:trPr>
          <w:tblHeader w:val="false"/>
        </w:trPr>
        <w:tc>
          <w:tcPr>
            <w:tcW w:type="dxa" w:w="3500"/>
            <w:tcBorders>
              <w:top w:val="single" w:color="BFBFBF" w:sz="1"/>
              <w:left w:val="single" w:color="BFBFBF" w:sz="1"/>
              <w:bottom w:val="single" w:color="BFBFBF" w:sz="1"/>
              <w:right w:val="single" w:color="BFBFBF" w:sz="1"/>
            </w:tcBorders>
            <w:shd w:fill="EAF1F8" w:val="clear"/>
            <w:tcMar>
              <w:top w:type="dxa" w:w="70"/>
              <w:left w:type="dxa" w:w="110"/>
              <w:bottom w:type="dxa" w:w="70"/>
              <w:right w:type="dxa" w:w="110"/>
            </w:tcMar>
          </w:tcPr>
          <w:p>
            <w:pPr>
              <w:spacing w:after="0" w:line="264"/>
            </w:pPr>
            <w:r>
              <w:rPr>
                <w:b w:val="false"/>
                <w:bCs w:val="false"/>
                <w:sz w:val="19"/>
                <w:szCs w:val="19"/>
              </w:rPr>
              <w:t xml:space="preserve">Blocked waiting on M1/M2</w:t>
            </w:r>
          </w:p>
        </w:tc>
        <w:tc>
          <w:tcPr>
            <w:tcW w:type="dxa" w:w="5500"/>
            <w:tcBorders>
              <w:top w:val="single" w:color="BFBFBF" w:sz="1"/>
              <w:left w:val="single" w:color="BFBFBF" w:sz="1"/>
              <w:bottom w:val="single" w:color="BFBFBF" w:sz="1"/>
              <w:right w:val="single" w:color="BFBFBF" w:sz="1"/>
            </w:tcBorders>
            <w:shd w:fill="EAF1F8" w:val="clear"/>
            <w:tcMar>
              <w:top w:type="dxa" w:w="70"/>
              <w:left w:type="dxa" w:w="110"/>
              <w:bottom w:type="dxa" w:w="70"/>
              <w:right w:type="dxa" w:w="110"/>
            </w:tcMar>
          </w:tcPr>
          <w:p>
            <w:pPr>
              <w:spacing w:after="0" w:line="264"/>
            </w:pPr>
            <w:r>
              <w:rPr>
                <w:b w:val="false"/>
                <w:bCs w:val="false"/>
                <w:sz w:val="19"/>
                <w:szCs w:val="19"/>
              </w:rPr>
              <w:t xml:space="preserve">Stub-first development (Stage 0); your module is fully buildable and measurable alone (Section 1.5).</w:t>
            </w:r>
          </w:p>
        </w:tc>
      </w:tr>
      <w:tr>
        <w:trPr>
          <w:tblHeader w:val="false"/>
        </w:trPr>
        <w:tc>
          <w:tcPr>
            <w:tcW w:type="dxa" w:w="35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64"/>
            </w:pPr>
            <w:r>
              <w:rPr>
                <w:b w:val="false"/>
                <w:bCs w:val="false"/>
                <w:sz w:val="19"/>
                <w:szCs w:val="19"/>
              </w:rPr>
              <w:t xml:space="preserve">Novelty questioned</w:t>
            </w:r>
          </w:p>
        </w:tc>
        <w:tc>
          <w:tcPr>
            <w:tcW w:type="dxa" w:w="55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64"/>
            </w:pPr>
            <w:r>
              <w:rPr>
                <w:b w:val="false"/>
                <w:bCs w:val="false"/>
                <w:sz w:val="19"/>
                <w:szCs w:val="19"/>
              </w:rPr>
              <w:t xml:space="preserve">State the contribution narrowly: a cost-aware adaptive scheduler + first measured cost/accuracy frontier for this hybrid, as a deployable runtime (Step 4.3).</w:t>
            </w:r>
          </w:p>
        </w:tc>
      </w:tr>
    </w:tbl>
    <w:p>
      <w:pPr>
        <w:pBdr>
          <w:left w:val="single" w:color="C9A227" w:sz="18" w:space="8"/>
        </w:pBdr>
        <w:shd w:fill="FBF3D9" w:val="clear"/>
        <w:spacing w:after="160" w:before="60" w:line="272"/>
        <w:ind w:left="120" w:right="120"/>
      </w:pPr>
      <w:r>
        <w:rPr>
          <w:b/>
          <w:bCs/>
          <w:color w:val="7A5C00"/>
        </w:rPr>
        <w:t xml:space="preserve">Evidence — </w:t>
      </w:r>
      <w:r>
        <w:t xml:space="preserve">Each row maps to the project risk register (</w:t>
      </w:r>
      <w:r>
        <w:rPr>
          <w:i/>
          <w:iCs/>
        </w:rPr>
        <w:t xml:space="preserve">Research Plan</w:t>
      </w:r>
      <w:r>
        <w:t xml:space="preserve">, Section 12) and to the closest related work, which confirms the design is sound but the specific cost-controller-as-product framing is your contribution; position against </w:t>
      </w:r>
      <w:hyperlink w:history="1" r:id="rIdy2561ifego6pup_ckfffy">
        <w:r>
          <w:rPr>
            <w:rStyle w:val="Hyperlink"/>
          </w:rPr>
          <w:t xml:space="preserve">ANCHOR/HINTS-style hybrids (2025)</w:t>
        </w:r>
      </w:hyperlink>
      <w:r>
        <w:t xml:space="preserve"> and </w:t>
      </w:r>
      <w:hyperlink w:history="1" r:id="rIdodau73mfhfzwhp13tocz2">
        <w:r>
          <w:rPr>
            <w:rStyle w:val="Hyperlink"/>
          </w:rPr>
          <w:t xml:space="preserve">neural-operator–FE coupling (2025)</w:t>
        </w:r>
      </w:hyperlink>
      <w:r>
        <w:t xml:space="preserve"> in your literature review, and confirm the novelty wording with your supervisor before committing (Section 13).</w:t>
      </w:r>
    </w:p>
    <w:p>
      <w:r>
        <w:br w:type="page"/>
      </w:r>
    </w:p>
    <w:p>
      <w:pPr>
        <w:pStyle w:val="Heading1"/>
      </w:pPr>
      <w:r>
        <w:t xml:space="preserve">References</w:t>
      </w:r>
    </w:p>
    <w:p>
      <w:pPr>
        <w:spacing w:after="90" w:line="270"/>
      </w:pPr>
      <w:r>
        <w:rPr>
          <w:b/>
          <w:bCs/>
        </w:rPr>
        <w:t xml:space="preserve">[1]  </w:t>
      </w:r>
      <w:hyperlink w:history="1" r:id="rIdip8kot2og4giz64w3riwg">
        <w:r>
          <w:rPr>
            <w:rStyle w:val="Hyperlink"/>
          </w:rPr>
          <w:t xml:space="preserve">Li, Z., et al. (2020). Fourier Neural Operator for Parametric Partial Differential Equations. arXiv:2010.08895.</w:t>
        </w:r>
      </w:hyperlink>
    </w:p>
    <w:p>
      <w:pPr>
        <w:spacing w:after="90" w:line="270"/>
      </w:pPr>
      <w:r>
        <w:rPr>
          <w:b/>
          <w:bCs/>
        </w:rPr>
        <w:t xml:space="preserve">[2]  </w:t>
      </w:r>
      <w:hyperlink w:history="1" r:id="rIdtyqoonaenftg8efkbqpcg">
        <w:r>
          <w:rPr>
            <w:rStyle w:val="Hyperlink"/>
          </w:rPr>
          <w:t xml:space="preserve">Raissi, M., Perdikaris, P., Karniadakis, G.E. (2019). Physics-Informed Neural Networks. J. Computational Physics 378, 686–707.</w:t>
        </w:r>
      </w:hyperlink>
    </w:p>
    <w:p>
      <w:pPr>
        <w:spacing w:after="90" w:line="270"/>
      </w:pPr>
      <w:r>
        <w:rPr>
          <w:b/>
          <w:bCs/>
        </w:rPr>
        <w:t xml:space="preserve">[3]  </w:t>
      </w:r>
      <w:hyperlink w:history="1" r:id="rIdd39mzgy3p2kwwhuadjc7b">
        <w:r>
          <w:rPr>
            <w:rStyle w:val="Hyperlink"/>
          </w:rPr>
          <w:t xml:space="preserve">Lu, L., et al. (2021). Learning nonlinear operators via DeepONet. Nature Machine Intelligence 3, 218–229.</w:t>
        </w:r>
      </w:hyperlink>
    </w:p>
    <w:p>
      <w:pPr>
        <w:spacing w:after="90" w:line="270"/>
      </w:pPr>
      <w:r>
        <w:rPr>
          <w:b/>
          <w:bCs/>
        </w:rPr>
        <w:t xml:space="preserve">[4]  </w:t>
      </w:r>
      <w:hyperlink w:history="1" r:id="rIdxub-9spjpadctpuyqllhm">
        <w:r>
          <w:rPr>
            <w:rStyle w:val="Hyperlink"/>
          </w:rPr>
          <w:t xml:space="preserve">TI-DeepONet: Learnable Time Integration for Stable Long-Term Extrapolation (2025). arXiv:2505.17341.</w:t>
        </w:r>
      </w:hyperlink>
    </w:p>
    <w:p>
      <w:pPr>
        <w:spacing w:after="90" w:line="270"/>
      </w:pPr>
      <w:r>
        <w:rPr>
          <w:b/>
          <w:bCs/>
        </w:rPr>
        <w:t xml:space="preserve">[5]  </w:t>
      </w:r>
      <w:hyperlink w:history="1" r:id="rIdcc91dumx1_bmj1iazlmuv">
        <w:r>
          <w:rPr>
            <w:rStyle w:val="Hyperlink"/>
          </w:rPr>
          <w:t xml:space="preserve">Recurrent Neural Operators: Stable Long-Term PDE Prediction (2025). arXiv:2505.20721.</w:t>
        </w:r>
      </w:hyperlink>
    </w:p>
    <w:p>
      <w:pPr>
        <w:spacing w:after="90" w:line="270"/>
      </w:pPr>
      <w:r>
        <w:rPr>
          <w:b/>
          <w:bCs/>
        </w:rPr>
        <w:t xml:space="preserve">[6]  </w:t>
      </w:r>
      <w:hyperlink w:history="1" r:id="rIdclir6bttfdl1dezuq3yp1">
        <w:r>
          <w:rPr>
            <w:rStyle w:val="Hyperlink"/>
          </w:rPr>
          <w:t xml:space="preserve">ANCHOR / “The Best of Both Worlds: Hybridizing Neural Operators and Solvers for Stable Long-Horizon Inference” (2025). arXiv:2512.19643.</w:t>
        </w:r>
      </w:hyperlink>
    </w:p>
    <w:p>
      <w:pPr>
        <w:spacing w:after="90" w:line="270"/>
      </w:pPr>
      <w:r>
        <w:rPr>
          <w:b/>
          <w:bCs/>
        </w:rPr>
        <w:t xml:space="preserve">[7]  </w:t>
      </w:r>
      <w:hyperlink w:history="1" r:id="rId1pedrkfwslmaepxoq5tpj">
        <w:r>
          <w:rPr>
            <w:rStyle w:val="Hyperlink"/>
          </w:rPr>
          <w:t xml:space="preserve">Time-Marching Neural Operator–FE Coupling: AI-Accelerated Physics Modeling (2025). arXiv:2504.11383.</w:t>
        </w:r>
      </w:hyperlink>
    </w:p>
    <w:p>
      <w:pPr>
        <w:spacing w:after="90" w:line="270"/>
      </w:pPr>
      <w:r>
        <w:rPr>
          <w:b/>
          <w:bCs/>
        </w:rPr>
        <w:t xml:space="preserve">[8]  </w:t>
      </w:r>
      <w:hyperlink w:history="1" r:id="rIdqaxuxiw1tz0je5r7vqu4u">
        <w:r>
          <w:rPr>
            <w:rStyle w:val="Hyperlink"/>
          </w:rPr>
          <w:t xml:space="preserve">INC: An Indirect Neural Corrector for Auto-Regressive Hybrid PDE Solvers (2025). arXiv:2511.12764.</w:t>
        </w:r>
      </w:hyperlink>
    </w:p>
    <w:p>
      <w:pPr>
        <w:spacing w:after="90" w:line="270"/>
      </w:pPr>
      <w:r>
        <w:rPr>
          <w:b/>
          <w:bCs/>
        </w:rPr>
        <w:t xml:space="preserve">[9]  </w:t>
      </w:r>
      <w:hyperlink w:history="1" r:id="rIdmfptk90pnuiwltthky_ps">
        <w:r>
          <w:rPr>
            <w:rStyle w:val="Hyperlink"/>
          </w:rPr>
          <w:t xml:space="preserve">Compute-Accuracy Pareto Frontiers for Open-Source Reasoning LLMs (2025). arXiv:2512.24776.</w:t>
        </w:r>
      </w:hyperlink>
    </w:p>
    <w:p>
      <w:pPr>
        <w:spacing w:after="90" w:line="270"/>
      </w:pPr>
      <w:r>
        <w:rPr>
          <w:b/>
          <w:bCs/>
        </w:rPr>
        <w:t xml:space="preserve">[10]  </w:t>
      </w:r>
      <w:hyperlink w:history="1" r:id="rIdknzzkwfhptc_m328jftq0">
        <w:r>
          <w:rPr>
            <w:rStyle w:val="Hyperlink"/>
          </w:rPr>
          <w:t xml:space="preserve">Courant–Friedrichs–Lewy condition (Courant, Friedrichs &amp; Lewy, 1928; overview).</w:t>
        </w:r>
      </w:hyperlink>
    </w:p>
    <w:p>
      <w:pPr>
        <w:spacing w:after="90" w:line="270"/>
      </w:pPr>
      <w:r>
        <w:rPr>
          <w:b/>
          <w:bCs/>
        </w:rPr>
        <w:t xml:space="preserve">[11]  </w:t>
      </w:r>
      <w:hyperlink w:history="1" r:id="rIdwyhq91gdbbdc0tsmundts">
        <w:r>
          <w:rPr>
            <w:rStyle w:val="Hyperlink"/>
          </w:rPr>
          <w:t xml:space="preserve">Bang–bang / hysteresis control (overview).</w:t>
        </w:r>
      </w:hyperlink>
    </w:p>
    <w:p>
      <w:pPr>
        <w:spacing w:after="90" w:line="270"/>
      </w:pPr>
      <w:r>
        <w:rPr>
          <w:b/>
          <w:bCs/>
        </w:rPr>
        <w:t xml:space="preserve">[12]  </w:t>
      </w:r>
      <w:hyperlink w:history="1" r:id="rIdnmupcdix0gyhztnoqcyae">
        <w:r>
          <w:rPr>
            <w:rStyle w:val="Hyperlink"/>
          </w:rPr>
          <w:t xml:space="preserve">Burgers’ equation and the Cole–Hopf transformation (Hopf 1950; Cole 1951; overview).</w:t>
        </w:r>
      </w:hyperlink>
    </w:p>
    <w:p>
      <w:pPr>
        <w:spacing w:after="90" w:line="270"/>
      </w:pPr>
      <w:r>
        <w:rPr>
          <w:b/>
          <w:bCs/>
        </w:rPr>
        <w:t xml:space="preserve">[13]  </w:t>
      </w:r>
      <w:hyperlink w:history="1" r:id="rIdwr58ohey4jp6_pg-j9kj4">
        <w:r>
          <w:rPr>
            <w:rStyle w:val="Hyperlink"/>
          </w:rPr>
          <w:t xml:space="preserve">Streamlit — interactive Python data/ML apps.</w:t>
        </w:r>
      </w:hyperlink>
    </w:p>
    <w:p>
      <w:pPr>
        <w:spacing w:after="120"/>
      </w:pPr>
      <w:r>
        <w:t xml:space="preserve"/>
      </w:r>
    </w:p>
    <w:p>
      <w:pPr>
        <w:pStyle w:val="Heading2"/>
      </w:pPr>
      <w:r>
        <w:t xml:space="preserve">Project artefacts cited (your own repository)</w:t>
      </w:r>
    </w:p>
    <w:p>
      <w:pPr>
        <w:pStyle w:val="ListParagraph"/>
        <w:numPr>
          <w:ilvl w:val="0"/>
          <w:numId w:val="2"/>
        </w:numPr>
        <w:spacing w:after="70"/>
      </w:pPr>
      <w:r>
        <w:rPr>
          <w:rFonts w:ascii="Consolas" w:cs="Consolas" w:eastAsia="Consolas" w:hAnsi="Consolas"/>
          <w:sz w:val="18"/>
          <w:szCs w:val="18"/>
        </w:rPr>
        <w:t xml:space="preserve">Turingz_Restructured_Research_Plan.pdf</w:t>
      </w:r>
      <w:r>
        <w:t xml:space="preserve">  — the authoritative module definitions and contracts.</w:t>
      </w:r>
    </w:p>
    <w:p>
      <w:pPr>
        <w:pStyle w:val="ListParagraph"/>
        <w:numPr>
          <w:ilvl w:val="0"/>
          <w:numId w:val="2"/>
        </w:numPr>
        <w:spacing w:after="70"/>
      </w:pPr>
      <w:r>
        <w:rPr>
          <w:rFonts w:ascii="Consolas" w:cs="Consolas" w:eastAsia="Consolas" w:hAnsi="Consolas"/>
          <w:sz w:val="18"/>
          <w:szCs w:val="18"/>
        </w:rPr>
        <w:t xml:space="preserve">results/deployment/deployment_cost_writeup.md</w:t>
      </w:r>
      <w:r>
        <w:t xml:space="preserve">  — the fair-cost methodology and HEI critique.</w:t>
      </w:r>
    </w:p>
    <w:p>
      <w:pPr>
        <w:pStyle w:val="ListParagraph"/>
        <w:numPr>
          <w:ilvl w:val="0"/>
          <w:numId w:val="2"/>
        </w:numPr>
        <w:spacing w:after="70"/>
      </w:pPr>
      <w:r>
        <w:rPr>
          <w:rFonts w:ascii="Consolas" w:cs="Consolas" w:eastAsia="Consolas" w:hAnsi="Consolas"/>
          <w:sz w:val="18"/>
          <w:szCs w:val="18"/>
        </w:rPr>
        <w:t xml:space="preserve">results/deployment/cost_summary.json</w:t>
      </w:r>
      <w:r>
        <w:t xml:space="preserve">  — measured latency, memory, scaling exponents, accuracy.</w:t>
      </w:r>
    </w:p>
    <w:p>
      <w:pPr>
        <w:pStyle w:val="ListParagraph"/>
        <w:numPr>
          <w:ilvl w:val="0"/>
          <w:numId w:val="2"/>
        </w:numPr>
        <w:spacing w:after="70"/>
      </w:pPr>
      <w:r>
        <w:rPr>
          <w:rFonts w:ascii="Consolas" w:cs="Consolas" w:eastAsia="Consolas" w:hAnsi="Consolas"/>
          <w:sz w:val="18"/>
          <w:szCs w:val="18"/>
        </w:rPr>
        <w:t xml:space="preserve">hybrid_pde/evaluation/deployment_cost_analysis.py</w:t>
      </w:r>
      <w:r>
        <w:t xml:space="preserve">  — the working profiler (timer, RSS subprocess, scaling fit).</w:t>
      </w:r>
    </w:p>
    <w:p>
      <w:pPr>
        <w:pStyle w:val="ListParagraph"/>
        <w:numPr>
          <w:ilvl w:val="0"/>
          <w:numId w:val="2"/>
        </w:numPr>
        <w:spacing w:after="70"/>
      </w:pPr>
      <w:r>
        <w:rPr>
          <w:rFonts w:ascii="Consolas" w:cs="Consolas" w:eastAsia="Consolas" w:hAnsi="Consolas"/>
          <w:sz w:val="18"/>
          <w:szCs w:val="18"/>
        </w:rPr>
        <w:t xml:space="preserve">hybrid_pde/common/{interface,evaluate,split}.py</w:t>
      </w:r>
      <w:r>
        <w:t xml:space="preserve">  — shared solver interface, metrics, and train/test split.</w:t>
      </w:r>
    </w:p>
    <w:p>
      <w:pPr>
        <w:pStyle w:val="ListParagraph"/>
        <w:numPr>
          <w:ilvl w:val="0"/>
          <w:numId w:val="2"/>
        </w:numPr>
        <w:spacing w:after="70"/>
      </w:pPr>
      <w:r>
        <w:rPr>
          <w:rFonts w:ascii="Consolas" w:cs="Consolas" w:eastAsia="Consolas" w:hAnsi="Consolas"/>
          <w:sz w:val="18"/>
          <w:szCs w:val="18"/>
        </w:rPr>
        <w:t xml:space="preserve">results/eval/reliability_summary.json &amp; reports/FINDINGS.md</w:t>
      </w:r>
      <w:r>
        <w:t xml:space="preserve">  — ML accuracy and the DeepONet plateau.</w:t>
      </w:r>
    </w:p>
    <w:sectPr>
      <w:headerReference w:type="default" r:id="rId7"/>
      <w:footerReference w:type="default" r:id="rId8"/>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95959"/>
        <w:sz w:val="16"/>
        <w:szCs w:val="16"/>
      </w:rPr>
      <w:t xml:space="preserve">Mendis B.N.D. · 214133E</w:t>
    </w:r>
    <w:r>
      <w:rPr>
        <w:color w:val="595959"/>
        <w:sz w:val="16"/>
        <w:szCs w:val="16"/>
      </w:rPr>
      <w:t xml:space="preserve">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jc w:val="right"/>
    </w:pPr>
    <w:r>
      <w:rPr>
        <w:color w:val="595959"/>
        <w:sz w:val="16"/>
        <w:szCs w:val="16"/>
      </w:rPr>
      <w:t xml:space="preserve">Turingz · Module 3 — Cost-Aware Adaptive Control &amp; Deployment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60" w:before="30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120" w:before="220"/>
      <w:outlineLvl w:val="1"/>
    </w:pPr>
    <w:rPr>
      <w:rFonts w:ascii="Calibri" w:cs="Calibri" w:eastAsia="Calibri" w:hAnsi="Calibri"/>
      <w:b/>
      <w:bCs/>
      <w:color w:val="2E75B6"/>
      <w:sz w:val="25"/>
      <w:szCs w:val="25"/>
    </w:rPr>
  </w:style>
  <w:style w:type="paragraph" w:styleId="Heading3">
    <w:name w:val="Heading 3"/>
    <w:basedOn w:val="Normal"/>
    <w:next w:val="Normal"/>
    <w:qFormat/>
    <w:pPr>
      <w:spacing w:after="80" w:before="180"/>
      <w:outlineLvl w:val="2"/>
    </w:pPr>
    <w:rPr>
      <w:rFonts w:ascii="Calibri" w:cs="Calibri" w:eastAsia="Calibri" w:hAnsi="Calibri"/>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yv8q0b2io6isljjrahq4k" Type="http://schemas.openxmlformats.org/officeDocument/2006/relationships/hyperlink" Target="https://arxiv.org/abs/2505.17341" TargetMode="External"/><Relationship Id="rIdgyizqhs8eapw3s6chtufc" Type="http://schemas.openxmlformats.org/officeDocument/2006/relationships/hyperlink" Target="https://arxiv.org/abs/2505.20721" TargetMode="External"/><Relationship Id="rIdbgigap2a3gvue3ru7wnuw" Type="http://schemas.openxmlformats.org/officeDocument/2006/relationships/hyperlink" Target="https://en.wikipedia.org/wiki/Burgers%27_equation" TargetMode="External"/><Relationship Id="rIdajgjyi6uwmjufytyilfok" Type="http://schemas.openxmlformats.org/officeDocument/2006/relationships/hyperlink" Target="https://arxiv.org/abs/2010.08895" TargetMode="External"/><Relationship Id="rId8lk7raxvanqrekmbi9vrs" Type="http://schemas.openxmlformats.org/officeDocument/2006/relationships/hyperlink" Target="https://doi.org/10.1016/j.jcp.2018.10.045" TargetMode="External"/><Relationship Id="rIdizimlfwesgjoxko6b9fea" Type="http://schemas.openxmlformats.org/officeDocument/2006/relationships/hyperlink" Target="https://www.nature.com/articles/s42256-021-00302-5" TargetMode="External"/><Relationship Id="rIdh0in6jvt4dbs3w-8fc28k" Type="http://schemas.openxmlformats.org/officeDocument/2006/relationships/hyperlink" Target="https://arxiv.org/abs/2512.19643" TargetMode="External"/><Relationship Id="rIdz16odjopvqogbv2iisqkc" Type="http://schemas.openxmlformats.org/officeDocument/2006/relationships/hyperlink" Target="https://en.wikipedia.org/wiki/Courant%E2%80%93Friedrichs%E2%80%93Lewy_condition" TargetMode="External"/><Relationship Id="rIdrwstd32t9i7i3s8z3yu0t" Type="http://schemas.openxmlformats.org/officeDocument/2006/relationships/hyperlink" Target="https://arxiv.org/abs/2512.19643" TargetMode="External"/><Relationship Id="rIdt3frebi12jsdpkiu9iswh" Type="http://schemas.openxmlformats.org/officeDocument/2006/relationships/hyperlink" Target="https://arxiv.org/html/2512.24776v1" TargetMode="External"/><Relationship Id="rId3p3zld1alv0qljcs0qfhq" Type="http://schemas.openxmlformats.org/officeDocument/2006/relationships/hyperlink" Target="https://arxiv.org/abs/2512.19643" TargetMode="External"/><Relationship Id="rIdaow0_woasi8x56ax5sa6b" Type="http://schemas.openxmlformats.org/officeDocument/2006/relationships/hyperlink" Target="https://en.wikipedia.org/wiki/Bang%E2%80%93bang_control" TargetMode="External"/><Relationship Id="rId5-prwl9ubdbwgs2uphm2d" Type="http://schemas.openxmlformats.org/officeDocument/2006/relationships/hyperlink" Target="https://arxiv.org/html/2512.24776v1" TargetMode="External"/><Relationship Id="rId93swbv-vc_bvkfpbqreur" Type="http://schemas.openxmlformats.org/officeDocument/2006/relationships/hyperlink" Target="https://streamlit.io/" TargetMode="External"/><Relationship Id="rIdy2561ifego6pup_ckfffy" Type="http://schemas.openxmlformats.org/officeDocument/2006/relationships/hyperlink" Target="https://arxiv.org/abs/2512.19643" TargetMode="External"/><Relationship Id="rIdodau73mfhfzwhp13tocz2" Type="http://schemas.openxmlformats.org/officeDocument/2006/relationships/hyperlink" Target="https://arxiv.org/abs/2504.11383" TargetMode="External"/><Relationship Id="rIdip8kot2og4giz64w3riwg" Type="http://schemas.openxmlformats.org/officeDocument/2006/relationships/hyperlink" Target="https://arxiv.org/abs/2010.08895" TargetMode="External"/><Relationship Id="rIdtyqoonaenftg8efkbqpcg" Type="http://schemas.openxmlformats.org/officeDocument/2006/relationships/hyperlink" Target="https://doi.org/10.1016/j.jcp.2018.10.045" TargetMode="External"/><Relationship Id="rIdd39mzgy3p2kwwhuadjc7b" Type="http://schemas.openxmlformats.org/officeDocument/2006/relationships/hyperlink" Target="https://www.nature.com/articles/s42256-021-00302-5" TargetMode="External"/><Relationship Id="rIdxub-9spjpadctpuyqllhm" Type="http://schemas.openxmlformats.org/officeDocument/2006/relationships/hyperlink" Target="https://arxiv.org/abs/2505.17341" TargetMode="External"/><Relationship Id="rIdcc91dumx1_bmj1iazlmuv" Type="http://schemas.openxmlformats.org/officeDocument/2006/relationships/hyperlink" Target="https://arxiv.org/abs/2505.20721" TargetMode="External"/><Relationship Id="rIdclir6bttfdl1dezuq3yp1" Type="http://schemas.openxmlformats.org/officeDocument/2006/relationships/hyperlink" Target="https://arxiv.org/abs/2512.19643" TargetMode="External"/><Relationship Id="rId1pedrkfwslmaepxoq5tpj" Type="http://schemas.openxmlformats.org/officeDocument/2006/relationships/hyperlink" Target="https://arxiv.org/abs/2504.11383" TargetMode="External"/><Relationship Id="rIdqaxuxiw1tz0je5r7vqu4u" Type="http://schemas.openxmlformats.org/officeDocument/2006/relationships/hyperlink" Target="https://arxiv.org/abs/2511.12764" TargetMode="External"/><Relationship Id="rIdmfptk90pnuiwltthky_ps" Type="http://schemas.openxmlformats.org/officeDocument/2006/relationships/hyperlink" Target="https://arxiv.org/html/2512.24776v1" TargetMode="External"/><Relationship Id="rIdknzzkwfhptc_m328jftq0" Type="http://schemas.openxmlformats.org/officeDocument/2006/relationships/hyperlink" Target="https://en.wikipedia.org/wiki/Courant%E2%80%93Friedrichs%E2%80%93Lewy_condition" TargetMode="External"/><Relationship Id="rIdwyhq91gdbbdc0tsmundts" Type="http://schemas.openxmlformats.org/officeDocument/2006/relationships/hyperlink" Target="https://en.wikipedia.org/wiki/Bang%E2%80%93bang_control" TargetMode="External"/><Relationship Id="rIdnmupcdix0gyhztnoqcyae" Type="http://schemas.openxmlformats.org/officeDocument/2006/relationships/hyperlink" Target="https://en.wikipedia.org/wiki/Burgers%27_equation" TargetMode="External"/><Relationship Id="rIdwr58ohey4jp6_pg-j9kj4" Type="http://schemas.openxmlformats.org/officeDocument/2006/relationships/hyperlink" Target="https://streamlit.io/" TargetMode="External"/><Relationship Id="rId3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3 Build Plan</dc:title>
  <dc:creator>Turingz — Module 3</dc:creator>
  <cp:lastModifiedBy>Un-named</cp:lastModifiedBy>
  <cp:revision>1</cp:revision>
  <dcterms:created xsi:type="dcterms:W3CDTF">2026-06-25T17:06:27.885Z</dcterms:created>
  <dcterms:modified xsi:type="dcterms:W3CDTF">2026-06-25T17:06:27.885Z</dcterms:modified>
</cp:coreProperties>
</file>

<file path=docProps/custom.xml><?xml version="1.0" encoding="utf-8"?>
<Properties xmlns="http://schemas.openxmlformats.org/officeDocument/2006/custom-properties" xmlns:vt="http://schemas.openxmlformats.org/officeDocument/2006/docPropsVTypes"/>
</file>