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Team Turingz - Hybrid ML-Numerical PDE Solver</w:t>
      </w:r>
    </w:p>
    <w:p>
      <w:pPr>
        <w:jc w:val="center"/>
      </w:pPr>
      <w:r>
        <w:rPr>
          <w:i/>
          <w:color w:val="555555"/>
          <w:sz w:val="24"/>
        </w:rPr>
        <w:t>Consolidated References  ·  1D viscous Burgers benchmark</w:t>
      </w:r>
    </w:p>
    <w:p/>
    <w:p>
      <w:pPr>
        <w:pStyle w:val="Heading1"/>
      </w:pPr>
      <w:r>
        <w:rPr>
          <w:rFonts w:ascii="Calibri" w:hAnsi="Calibri"/>
          <w:color w:val="2E75B6"/>
        </w:rPr>
        <w:t>A.  ML PDE surrogates and operator learning</w:t>
      </w:r>
    </w:p>
    <w:p>
      <w:pPr>
        <w:ind w:left="520" w:hanging="520"/>
      </w:pPr>
      <w:r>
        <w:rPr>
          <w:b/>
          <w:color w:val="1F4E79"/>
        </w:rPr>
        <w:t xml:space="preserve">[1] </w:t>
      </w:r>
      <w:r>
        <w:t>Li, Z., Kovachki, N., Azizzadenesheli, K., Liu, B., Bhattacharya, K., Stuart, A., &amp; Anandkumar, A. (2021). Fourier Neural Operator for Parametric Partial Differential Equations. ICLR 2021.</w:t>
      </w:r>
      <w:r>
        <w:rPr>
          <w:i/>
          <w:color w:val="1E7449"/>
          <w:sz w:val="20"/>
        </w:rPr>
        <w:t xml:space="preserve">  - FNO</w:t>
      </w:r>
      <w:r>
        <w:t xml:space="preserve">  </w:t>
      </w:r>
      <w:r>
        <w:rPr>
          <w:rFonts w:ascii="Consolas" w:hAnsi="Consolas"/>
          <w:color w:val="555555"/>
          <w:sz w:val="18"/>
        </w:rPr>
        <w:t>arXiv:2010.08895</w:t>
      </w:r>
    </w:p>
    <w:p>
      <w:pPr>
        <w:ind w:left="520" w:hanging="520"/>
      </w:pPr>
      <w:r>
        <w:rPr>
          <w:b/>
          <w:color w:val="1F4E79"/>
        </w:rPr>
        <w:t xml:space="preserve">[2] </w:t>
      </w:r>
      <w:r>
        <w:t>Kovachki, N., Li, Z., Liu, B., Azizzadenesheli, K., Bhattacharya, K., Stuart, A., &amp; Anandkumar, A. (2023). Neural Operator: Learning Maps Between Function Spaces with Applications to PDEs. Journal of Machine Learning Research, 24.</w:t>
      </w:r>
      <w:r>
        <w:rPr>
          <w:i/>
          <w:color w:val="1E7449"/>
          <w:sz w:val="20"/>
        </w:rPr>
        <w:t xml:space="preserve">  - operator-learning theory</w:t>
      </w:r>
      <w:r>
        <w:t xml:space="preserve">  </w:t>
      </w:r>
      <w:r>
        <w:rPr>
          <w:rFonts w:ascii="Consolas" w:hAnsi="Consolas"/>
          <w:color w:val="555555"/>
          <w:sz w:val="18"/>
        </w:rPr>
        <w:t>arXiv:2108.08481</w:t>
      </w:r>
    </w:p>
    <w:p>
      <w:pPr>
        <w:ind w:left="520" w:hanging="520"/>
      </w:pPr>
      <w:r>
        <w:rPr>
          <w:b/>
          <w:color w:val="1F4E79"/>
        </w:rPr>
        <w:t xml:space="preserve">[3] </w:t>
      </w:r>
      <w:r>
        <w:t>Raissi, M., Perdikaris, P., &amp; Karniadakis, G. E. (2019). Physics-informed neural networks. Journal of Computational Physics, 378, 686-707.</w:t>
      </w:r>
      <w:r>
        <w:rPr>
          <w:i/>
          <w:color w:val="1E7449"/>
          <w:sz w:val="20"/>
        </w:rPr>
        <w:t xml:space="preserve">  - PINN</w:t>
      </w:r>
      <w:r>
        <w:t xml:space="preserve">  </w:t>
      </w:r>
      <w:r>
        <w:rPr>
          <w:rFonts w:ascii="Consolas" w:hAnsi="Consolas"/>
          <w:color w:val="555555"/>
          <w:sz w:val="18"/>
        </w:rPr>
        <w:t>doi:10.1016/j.jcp.2018.10.045</w:t>
      </w:r>
    </w:p>
    <w:p>
      <w:pPr>
        <w:ind w:left="520" w:hanging="520"/>
      </w:pPr>
      <w:r>
        <w:rPr>
          <w:b/>
          <w:color w:val="1F4E79"/>
        </w:rPr>
        <w:t xml:space="preserve">[4] </w:t>
      </w:r>
      <w:r>
        <w:t>Lu, L., Jin, P., Pang, G., Zhang, Z., &amp; Karniadakis, G. E. (2021). Learning nonlinear operators via DeepONet. Nature Machine Intelligence, 3, 218-229.</w:t>
      </w:r>
      <w:r>
        <w:rPr>
          <w:i/>
          <w:color w:val="1E7449"/>
          <w:sz w:val="20"/>
        </w:rPr>
        <w:t xml:space="preserve">  - DeepONet</w:t>
      </w:r>
      <w:r>
        <w:t xml:space="preserve">  </w:t>
      </w:r>
      <w:r>
        <w:rPr>
          <w:rFonts w:ascii="Consolas" w:hAnsi="Consolas"/>
          <w:color w:val="555555"/>
          <w:sz w:val="18"/>
        </w:rPr>
        <w:t>doi:10.1038/s42256-021-00302-5</w:t>
      </w:r>
    </w:p>
    <w:p>
      <w:pPr>
        <w:ind w:left="520" w:hanging="520"/>
      </w:pPr>
      <w:r>
        <w:rPr>
          <w:b/>
          <w:color w:val="1F4E79"/>
        </w:rPr>
        <w:t xml:space="preserve">[5] </w:t>
      </w:r>
      <w:r>
        <w:t>Karniadakis, G. E., Kevrekidis, I. G., Lu, L., Perdikaris, P., Wang, S., &amp; Yang, L. (2021). Physics-informed machine learning. Nature Reviews Physics, 3, 422-440.</w:t>
      </w:r>
      <w:r>
        <w:rPr>
          <w:i/>
          <w:color w:val="1E7449"/>
          <w:sz w:val="20"/>
        </w:rPr>
        <w:t xml:space="preserve">  - review of the field</w:t>
      </w:r>
    </w:p>
    <w:p>
      <w:pPr>
        <w:pStyle w:val="Heading1"/>
      </w:pPr>
      <w:r>
        <w:rPr>
          <w:rFonts w:ascii="Calibri" w:hAnsi="Calibri"/>
          <w:color w:val="2E75B6"/>
        </w:rPr>
        <w:t>B.  Numerical methods and exact ground truth</w:t>
      </w:r>
    </w:p>
    <w:p>
      <w:pPr>
        <w:ind w:left="520" w:hanging="520"/>
      </w:pPr>
      <w:r>
        <w:rPr>
          <w:b/>
          <w:color w:val="1F4E79"/>
        </w:rPr>
        <w:t xml:space="preserve">[6] </w:t>
      </w:r>
      <w:r>
        <w:t>Burgers, J. M. (1948). A mathematical model illustrating the theory of turbulence. Advances in Applied Mechanics, 1, 171-199.</w:t>
      </w:r>
      <w:r>
        <w:rPr>
          <w:i/>
          <w:color w:val="1E7449"/>
          <w:sz w:val="20"/>
        </w:rPr>
        <w:t xml:space="preserve">  - the benchmark equation</w:t>
      </w:r>
    </w:p>
    <w:p>
      <w:pPr>
        <w:ind w:left="520" w:hanging="520"/>
      </w:pPr>
      <w:r>
        <w:rPr>
          <w:b/>
          <w:color w:val="1F4E79"/>
        </w:rPr>
        <w:t xml:space="preserve">[7] </w:t>
      </w:r>
      <w:r>
        <w:t>Hopf, E. (1950). The partial differential equation u_t + u u_x = mu u_xx. Communications on Pure and Applied Mathematics, 3, 201-230.</w:t>
      </w:r>
      <w:r>
        <w:rPr>
          <w:i/>
          <w:color w:val="1E7449"/>
          <w:sz w:val="20"/>
        </w:rPr>
        <w:t xml:space="preserve">  - Cole-Hopf exact solution</w:t>
      </w:r>
    </w:p>
    <w:p>
      <w:pPr>
        <w:ind w:left="520" w:hanging="520"/>
      </w:pPr>
      <w:r>
        <w:rPr>
          <w:b/>
          <w:color w:val="1F4E79"/>
        </w:rPr>
        <w:t xml:space="preserve">[8] </w:t>
      </w:r>
      <w:r>
        <w:t>Cole, J. D. (1951). On a quasi-linear parabolic equation occurring in aerodynamics. Quarterly of Applied Mathematics, 9, 225-236.</w:t>
      </w:r>
      <w:r>
        <w:rPr>
          <w:i/>
          <w:color w:val="1E7449"/>
          <w:sz w:val="20"/>
        </w:rPr>
        <w:t xml:space="preserve">  - Cole-Hopf exact solution</w:t>
      </w:r>
    </w:p>
    <w:p>
      <w:pPr>
        <w:ind w:left="520" w:hanging="520"/>
      </w:pPr>
      <w:r>
        <w:rPr>
          <w:b/>
          <w:color w:val="1F4E79"/>
        </w:rPr>
        <w:t xml:space="preserve">[9] </w:t>
      </w:r>
      <w:r>
        <w:t>Cox, S. M., &amp; Matthews, P. C. (2002). Exponential time differencing for stiff systems. Journal of Computational Physics, 176(2), 430-455.</w:t>
      </w:r>
      <w:r>
        <w:rPr>
          <w:i/>
          <w:color w:val="1E7449"/>
          <w:sz w:val="20"/>
        </w:rPr>
        <w:t xml:space="preserve">  - ETD basis of the spectral stepper</w:t>
      </w:r>
    </w:p>
    <w:p>
      <w:pPr>
        <w:ind w:left="520" w:hanging="520"/>
      </w:pPr>
      <w:r>
        <w:rPr>
          <w:b/>
          <w:color w:val="1F4E79"/>
        </w:rPr>
        <w:t xml:space="preserve">[10] </w:t>
      </w:r>
      <w:r>
        <w:t>Kassam, A.-K., &amp; Trefethen, L. N. (2005). Fourth-order time-stepping for stiff PDEs. SIAM Journal on Scientific Computing, 26(4), 1214-1233.</w:t>
      </w:r>
      <w:r>
        <w:rPr>
          <w:i/>
          <w:color w:val="1E7449"/>
          <w:sz w:val="20"/>
        </w:rPr>
        <w:t xml:space="preserve">  - ETDRK4</w:t>
      </w:r>
    </w:p>
    <w:p>
      <w:pPr>
        <w:ind w:left="520" w:hanging="520"/>
      </w:pPr>
      <w:r>
        <w:rPr>
          <w:b/>
          <w:color w:val="1F4E79"/>
        </w:rPr>
        <w:t xml:space="preserve">[11] </w:t>
      </w:r>
      <w:r>
        <w:t>Trefethen, L. N. (2000). Spectral Methods in MATLAB. SIAM.</w:t>
      </w:r>
    </w:p>
    <w:p>
      <w:pPr>
        <w:ind w:left="520" w:hanging="520"/>
      </w:pPr>
      <w:r>
        <w:rPr>
          <w:b/>
          <w:color w:val="1F4E79"/>
        </w:rPr>
        <w:t xml:space="preserve">[12] </w:t>
      </w:r>
      <w:r>
        <w:t>Orszag, S. A. (1971). On the elimination of aliasing in finite-difference schemes by filtering high-wavenumber components. Journal of the Atmospheric Sciences, 28(6), 1074.</w:t>
      </w:r>
      <w:r>
        <w:rPr>
          <w:i/>
          <w:color w:val="1E7449"/>
          <w:sz w:val="20"/>
        </w:rPr>
        <w:t xml:space="preserve">  - 2/3 de-aliasing rule</w:t>
      </w:r>
    </w:p>
    <w:p>
      <w:pPr>
        <w:pStyle w:val="Heading1"/>
      </w:pPr>
      <w:r>
        <w:rPr>
          <w:rFonts w:ascii="Calibri" w:hAnsi="Calibri"/>
          <w:color w:val="2E75B6"/>
        </w:rPr>
        <w:t>C.  Hybrid ML-numerical solvers (closest prior work)</w:t>
      </w:r>
    </w:p>
    <w:p>
      <w:pPr>
        <w:ind w:left="520" w:hanging="520"/>
      </w:pPr>
      <w:r>
        <w:rPr>
          <w:b/>
          <w:color w:val="1F4E79"/>
        </w:rPr>
        <w:t xml:space="preserve">[13] </w:t>
      </w:r>
      <w:r>
        <w:t>ANCHOR: Error-Controlled Adaptive Numerical Correction for Neural Operator Time Marching (2025).</w:t>
      </w:r>
      <w:r>
        <w:rPr>
          <w:i/>
          <w:color w:val="1E7449"/>
          <w:sz w:val="20"/>
        </w:rPr>
        <w:t xml:space="preserve">  - closest prior work; triggers on the physics residual</w:t>
      </w:r>
      <w:r>
        <w:t xml:space="preserve">  </w:t>
      </w:r>
      <w:r>
        <w:rPr>
          <w:rFonts w:ascii="Consolas" w:hAnsi="Consolas"/>
          <w:color w:val="555555"/>
          <w:sz w:val="18"/>
        </w:rPr>
        <w:t>arXiv:2512.19643</w:t>
      </w:r>
    </w:p>
    <w:p>
      <w:pPr>
        <w:ind w:left="520" w:hanging="520"/>
      </w:pPr>
      <w:r>
        <w:rPr>
          <w:b/>
          <w:color w:val="1F4E79"/>
        </w:rPr>
        <w:t xml:space="preserve">[14] </w:t>
      </w:r>
      <w:r>
        <w:t>Zhang, E., Kahana, A., Turkel, E., Ranade, R., Pathak, J., &amp; Karniadakis, G. E. (2024). Blending neural operators and relaxation methods in PDE numerical solvers (HINTS). Nature Machine Intelligence.</w:t>
      </w:r>
      <w:r>
        <w:t xml:space="preserve">  </w:t>
      </w:r>
      <w:r>
        <w:rPr>
          <w:rFonts w:ascii="Consolas" w:hAnsi="Consolas"/>
          <w:color w:val="555555"/>
          <w:sz w:val="18"/>
        </w:rPr>
        <w:t>arXiv:2208.13273 ; doi:10.1038/s42256-024-00910-x</w:t>
      </w:r>
    </w:p>
    <w:p>
      <w:pPr>
        <w:ind w:left="520" w:hanging="520"/>
      </w:pPr>
      <w:r>
        <w:rPr>
          <w:b/>
          <w:color w:val="1F4E79"/>
        </w:rPr>
        <w:t xml:space="preserve">[15] </w:t>
      </w:r>
      <w:r>
        <w:t>Are Deep Learning Based Hybrid PDE Solvers Reliable? Why Training Paradigms and Update Strategies Matter (2026).</w:t>
      </w:r>
      <w:r>
        <w:rPr>
          <w:i/>
          <w:color w:val="1E7449"/>
          <w:sz w:val="20"/>
        </w:rPr>
        <w:t xml:space="preserve">  - recent; reliability of hybrid solvers</w:t>
      </w:r>
      <w:r>
        <w:t xml:space="preserve">  </w:t>
      </w:r>
      <w:r>
        <w:rPr>
          <w:rFonts w:ascii="Consolas" w:hAnsi="Consolas"/>
          <w:color w:val="555555"/>
          <w:sz w:val="18"/>
        </w:rPr>
        <w:t>arXiv:2602.06842</w:t>
      </w:r>
    </w:p>
    <w:p>
      <w:pPr>
        <w:pStyle w:val="Heading1"/>
      </w:pPr>
      <w:r>
        <w:rPr>
          <w:rFonts w:ascii="Calibri" w:hAnsi="Calibri"/>
          <w:color w:val="2E75B6"/>
        </w:rPr>
        <w:t>D.  Module 3 - cost-aware adaptive control and deployment</w:t>
      </w:r>
    </w:p>
    <w:p>
      <w:r>
        <w:rPr>
          <w:i/>
          <w:color w:val="555555"/>
          <w:sz w:val="19"/>
        </w:rPr>
        <w:t>The scholarly grounding for the controller, the layered monitoring, the accuracy-budget knob and the frontier.</w:t>
      </w:r>
    </w:p>
    <w:p>
      <w:pPr>
        <w:ind w:left="520" w:hanging="520"/>
      </w:pPr>
      <w:r>
        <w:rPr>
          <w:b/>
          <w:color w:val="1F4E79"/>
        </w:rPr>
        <w:t xml:space="preserve">[16] </w:t>
      </w:r>
      <w:r>
        <w:t>Hespanha, J. P., Liberzon, D., &amp; Morse, A. S. (2003). Hysteresis-based switching algorithms for supervisory control of uncertain systems. Automatica, 39(2), 263-272.</w:t>
      </w:r>
      <w:r>
        <w:rPr>
          <w:i/>
          <w:color w:val="1E7449"/>
          <w:sz w:val="20"/>
        </w:rPr>
        <w:t xml:space="preserve">  - basis for the two-threshold anti-chatter deadband</w:t>
      </w:r>
    </w:p>
    <w:p>
      <w:pPr>
        <w:ind w:left="520" w:hanging="520"/>
      </w:pPr>
      <w:r>
        <w:rPr>
          <w:b/>
          <w:color w:val="1F4E79"/>
        </w:rPr>
        <w:t xml:space="preserve">[17] </w:t>
      </w:r>
      <w:r>
        <w:t>Liberzon, D. (2003). Switching in Systems and Control. Birkhauser.</w:t>
      </w:r>
      <w:r>
        <w:rPr>
          <w:i/>
          <w:color w:val="1E7449"/>
          <w:sz w:val="20"/>
        </w:rPr>
        <w:t xml:space="preserve">  - switching stability</w:t>
      </w:r>
    </w:p>
    <w:p>
      <w:pPr>
        <w:ind w:left="520" w:hanging="520"/>
      </w:pPr>
      <w:r>
        <w:rPr>
          <w:b/>
          <w:color w:val="1F4E79"/>
        </w:rPr>
        <w:t xml:space="preserve">[18] </w:t>
      </w:r>
      <w:r>
        <w:t>Astrom, K. J., &amp; Wittenmark, B. (2008). Adaptive Control (2nd ed.). Dover.</w:t>
      </w:r>
      <w:r>
        <w:rPr>
          <w:i/>
          <w:color w:val="1E7449"/>
          <w:sz w:val="20"/>
        </w:rPr>
        <w:t xml:space="preserve">  - adaptive control foundations</w:t>
      </w:r>
    </w:p>
    <w:p>
      <w:pPr>
        <w:ind w:left="520" w:hanging="520"/>
      </w:pPr>
      <w:r>
        <w:rPr>
          <w:b/>
          <w:color w:val="1F4E79"/>
        </w:rPr>
        <w:t xml:space="preserve">[19] </w:t>
      </w:r>
      <w:r>
        <w:t>Mayne, D. Q., Rawlings, J. B., Rao, C. V., &amp; Scokaert, P. O. M. (2000). Constrained model predictive control: Stability and optimality. Automatica, 36(6), 789-814.</w:t>
      </w:r>
      <w:r>
        <w:rPr>
          <w:i/>
          <w:color w:val="1E7449"/>
          <w:sz w:val="20"/>
        </w:rPr>
        <w:t xml:space="preserve">  - receding-horizon control (the controller's horizon)</w:t>
      </w:r>
    </w:p>
    <w:p>
      <w:pPr>
        <w:ind w:left="520" w:hanging="520"/>
      </w:pPr>
      <w:r>
        <w:rPr>
          <w:b/>
          <w:color w:val="1F4E79"/>
        </w:rPr>
        <w:t xml:space="preserve">[20] </w:t>
      </w:r>
      <w:r>
        <w:t>Peherstorfer, B., Willcox, K., &amp; Gunzburger, M. (2018). Survey of multifidelity methods in uncertainty propagation, inference, and optimization. SIAM Review, 60(3), 550-591.</w:t>
      </w:r>
      <w:r>
        <w:rPr>
          <w:i/>
          <w:color w:val="1E7449"/>
          <w:sz w:val="20"/>
        </w:rPr>
        <w:t xml:space="preserve">  - cheap + expensive models = layered free/paid monitoring</w:t>
      </w:r>
    </w:p>
    <w:p>
      <w:pPr>
        <w:ind w:left="520" w:hanging="520"/>
      </w:pPr>
      <w:r>
        <w:rPr>
          <w:b/>
          <w:color w:val="1F4E79"/>
        </w:rPr>
        <w:t xml:space="preserve">[21] </w:t>
      </w:r>
      <w:r>
        <w:t>Zilberstein, S. (1996). Using anytime algorithms in intelligent systems. AI Magazine, 17(3), 73-83.</w:t>
      </w:r>
      <w:r>
        <w:rPr>
          <w:i/>
          <w:color w:val="1E7449"/>
          <w:sz w:val="20"/>
        </w:rPr>
        <w:t xml:space="preserve">  - spend compute to hit a target = accuracy-budget knob</w:t>
      </w:r>
    </w:p>
    <w:p>
      <w:pPr>
        <w:ind w:left="520" w:hanging="520"/>
      </w:pPr>
      <w:r>
        <w:rPr>
          <w:b/>
          <w:color w:val="1F4E79"/>
        </w:rPr>
        <w:t xml:space="preserve">[22] </w:t>
      </w:r>
      <w:r>
        <w:t>Dean, T., &amp; Boddy, M. (1988). An analysis of time-dependent planning. AAAI-88.</w:t>
      </w:r>
      <w:r>
        <w:rPr>
          <w:i/>
          <w:color w:val="1E7449"/>
          <w:sz w:val="20"/>
        </w:rPr>
        <w:t xml:space="preserve">  - origin of anytime algorithms</w:t>
      </w:r>
    </w:p>
    <w:p>
      <w:pPr>
        <w:ind w:left="520" w:hanging="520"/>
      </w:pPr>
      <w:r>
        <w:rPr>
          <w:b/>
          <w:color w:val="1F4E79"/>
        </w:rPr>
        <w:t xml:space="preserve">[23] </w:t>
      </w:r>
      <w:r>
        <w:t>Miettinen, K. (1999). Nonlinear Multiobjective Optimization. Kluwer Academic.</w:t>
      </w:r>
      <w:r>
        <w:rPr>
          <w:i/>
          <w:color w:val="1E7449"/>
          <w:sz w:val="20"/>
        </w:rPr>
        <w:t xml:space="preserve">  - Pareto trade-off frontier</w:t>
      </w:r>
    </w:p>
    <w:p>
      <w:pPr>
        <w:ind w:left="520" w:hanging="520"/>
      </w:pPr>
      <w:r>
        <w:rPr>
          <w:b/>
          <w:color w:val="1F4E79"/>
        </w:rPr>
        <w:t xml:space="preserve">[24] </w:t>
      </w:r>
      <w:r>
        <w:t>Deb, K. (2001). Multi-Objective Optimization Using Evolutionary Algorithms. Wiley.</w:t>
      </w:r>
      <w:r>
        <w:rPr>
          <w:i/>
          <w:color w:val="1E7449"/>
          <w:sz w:val="20"/>
        </w:rPr>
        <w:t xml:space="preserve">  - Pareto frontier</w:t>
      </w:r>
    </w:p>
    <w:p/>
    <w:p>
      <w:r>
        <w:rPr>
          <w:i/>
          <w:color w:val="555555"/>
          <w:sz w:val="18"/>
        </w:rPr>
        <w:t>Verification: ANCHOR (arXiv:2512.19643), HINTS (arXiv:2208.13273 / Nature Machine Intelligence 2024) and the 2026 reliability paper (arXiv:2602.06842) were confirmed as real, current papers. HINTS is listed under its correct arXiv ID (an earlier project note used 2504.11383, which is incorrect). A 'TI-DeepONet' extrapolation paper cited elsewhere in the project docs was not independently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