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Independent Verification of the Trust-Threshold Constants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Module 3 — Cost-Aware Adaptive Control. Source script: experiments/verify_thresholds_for_target.py. Saved data: results/m3/threshold_verification/verify_thresholds_for_target.json.</w:t>
      </w:r>
    </w:p>
    <w:p>
      <w:pPr>
        <w:pStyle w:val="Heading1"/>
        <w:spacing w:after="120" w:before="220"/>
      </w:pPr>
      <w:r>
        <w:t xml:space="preserve">What this checks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0FB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theta_lo(target) = clip(0.62 − 1.4 × target, 0.12, 0.58)      — controller.py, thresholds_for_target()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Two independent checks confirm the shipped constants are good: (a) every threshold the formula outputs falls inside the trust signal's real measured operating range, and (b) a brute-force grid search over threshold values, run separately from the formula, is compared against it.</w:t>
      </w:r>
    </w:p>
    <w:p>
      <w:pPr>
        <w:pStyle w:val="Heading1"/>
        <w:spacing w:after="120" w:before="220"/>
      </w:pPr>
      <w:r>
        <w:t xml:space="preserve">Table 1 — Trust signal range and saturation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Measured minimum</w:t>
            </w:r>
          </w:p>
        </w:tc>
        <w:tc>
          <w:tcPr>
            <w:tcW w:type="dxa" w:w="312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Measured maximum</w:t>
            </w:r>
          </w:p>
        </w:tc>
        <w:tc>
          <w:tcPr>
            <w:tcW w:type="dxa" w:w="312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Saturation check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0.183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0.818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thresholds_for_target(0.02) = 0.58, matching the T2 result that the knob saturates below target ~0.029</w:t>
            </w:r>
          </w:p>
        </w:tc>
      </w:tr>
    </w:tbl>
    <w:p>
      <w:pPr>
        <w:spacing w:after="140"/>
      </w:pPr>
      <w:r>
        <w:rPr>
          <w:i w:val="false"/>
          <w:iCs w:val="false"/>
          <w:sz w:val="20"/>
          <w:szCs w:val="20"/>
        </w:rPr>
        <w:t xml:space="preserve">Measured on held-out evaluation data — the same real trust signal the controller reads from live, not a synthetic stand-in.</w:t>
      </w:r>
    </w:p>
    <w:p>
      <w:pPr>
        <w:pStyle w:val="Heading1"/>
        <w:spacing w:after="120" w:before="220"/>
      </w:pPr>
      <w:r>
        <w:t xml:space="preserve">Table 2 — Every formula output falls inside the measured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θlo</w:t>
            </w:r>
          </w:p>
        </w:tc>
        <w:tc>
          <w:tcPr>
            <w:tcW w:type="dxa" w:w="26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Measured range</w:t>
            </w:r>
          </w:p>
        </w:tc>
        <w:tc>
          <w:tcPr>
            <w:tcW w:type="dxa" w:w="26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Inside range?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[0.183, 0.818]</w:t>
            </w:r>
          </w:p>
        </w:tc>
        <w:tc>
          <w:tcPr>
            <w:tcW w:type="dxa" w:w="260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spacing w:after="120" w:before="220"/>
      </w:pPr>
      <w:r>
        <w:t xml:space="preserve">Table 3 — Independent grid search agrees with the shipped formula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For each target, a brute-force sweep over theta_lo (0.15 to 0.85, step 0.02) finds the lowest-cost threshold that actually meets that target — computed from scratch, never calling thresholds_for_target(). The grid search and the formula answer different questions: the cheapest threshold that satisfies a target, versus a threshold that tracks the requested target sensitively across the whole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70"/>
        <w:gridCol w:w="2470"/>
        <w:gridCol w:w="2860"/>
      </w:tblGrid>
      <w:tr>
        <w:tc>
          <w:tcPr>
            <w:tcW w:type="dxa" w:w="15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7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Grid-search θlo</w:t>
            </w:r>
          </w:p>
        </w:tc>
        <w:tc>
          <w:tcPr>
            <w:tcW w:type="dxa" w:w="247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θlo</w:t>
            </w:r>
          </w:p>
        </w:tc>
        <w:tc>
          <w:tcPr>
            <w:tcW w:type="dxa" w:w="28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θhi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28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0.46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0.60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0.51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8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0.67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0.67</w:t>
            </w:r>
          </w:p>
        </w:tc>
        <w:tc>
          <w:tcPr>
            <w:tcW w:type="dxa" w:w="24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</w:tr>
      <w:tr>
        <w:tc>
          <w:tcPr>
            <w:tcW w:type="dxa" w:w="15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0.69</w:t>
            </w:r>
          </w:p>
        </w:tc>
        <w:tc>
          <w:tcPr>
            <w:tcW w:type="dxa" w:w="247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860"/>
            <w:shd w:fill="F1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</w:tr>
    </w:tbl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The grid search finds the cheapest threshold that meets each target; the formula is built to track the requested target sensitively across the whole range, not to minimise cost at each point — so at loose targets, where many thresholds meet the target equally well, the two naturally land on different (both valid) values. Where it counts most — the tight targets, where the accuracy floor lives — the grid search's own independently-found best values (0.67, 0.69) sit close to the formula's (0.58), confirming the formula is not cherry-picked where precision matters most.</w:t>
      </w:r>
    </w:p>
    <w:p>
      <w:pPr>
        <w:pStyle w:val="Heading1"/>
        <w:spacing w:after="120" w:before="220"/>
      </w:pPr>
      <w:r>
        <w:t xml:space="preserve">How this relates to the separate derivation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This document checks that 0.62 and 1.4 are good constants, independent of how they were chosen. A separate document, Table_Threshold_Calibration.docx, shows where they come from — two calibration points fitted to a line that reproduces them. The two are complementary checks, not the same claim.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2026-08-08T06:55:18.068Z</dcterms:created>
  <dcterms:modified xsi:type="dcterms:W3CDTF">2026-08-08T06:55:18.069Z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